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560" w:lineRule="atLeast"/>
        <w:rPr>
          <w:rFonts w:hint="eastAsia" w:ascii="黑体" w:hAnsi="黑体" w:eastAsia="黑体"/>
          <w:color w:val="000000"/>
          <w:kern w:val="0"/>
          <w:position w:val="-4"/>
          <w:sz w:val="32"/>
          <w:szCs w:val="32"/>
          <w:lang w:val="en-US" w:eastAsia="zh-CN"/>
        </w:rPr>
      </w:pPr>
      <w:r>
        <w:rPr>
          <w:rFonts w:hint="eastAsia" w:ascii="黑体" w:hAnsi="黑体" w:eastAsia="黑体"/>
          <w:color w:val="000000"/>
          <w:kern w:val="0"/>
          <w:position w:val="-4"/>
          <w:sz w:val="32"/>
          <w:szCs w:val="32"/>
        </w:rPr>
        <w:t>附件</w:t>
      </w:r>
      <w:r>
        <w:rPr>
          <w:rFonts w:hint="eastAsia" w:ascii="黑体" w:hAnsi="黑体" w:eastAsia="黑体"/>
          <w:color w:val="000000"/>
          <w:kern w:val="0"/>
          <w:position w:val="-4"/>
          <w:sz w:val="32"/>
          <w:szCs w:val="32"/>
          <w:lang w:val="en-US" w:eastAsia="zh-CN"/>
        </w:rPr>
        <w:t>2</w:t>
      </w:r>
    </w:p>
    <w:p>
      <w:pPr>
        <w:pStyle w:val="6"/>
        <w:widowControl/>
        <w:autoSpaceDN w:val="0"/>
        <w:spacing w:line="560" w:lineRule="atLeast"/>
        <w:ind w:left="0" w:leftChars="0" w:right="0" w:rightChars="0" w:firstLine="0" w:firstLineChars="0"/>
        <w:jc w:val="center"/>
        <w:rPr>
          <w:rFonts w:hint="eastAsia" w:ascii="方正小标宋简体" w:hAnsi="方正小标宋简体" w:eastAsia="方正小标宋简体" w:cs="宋体"/>
          <w:kern w:val="0"/>
          <w:sz w:val="44"/>
          <w:szCs w:val="44"/>
          <w:lang w:eastAsia="zh-CN"/>
        </w:rPr>
      </w:pPr>
      <w:r>
        <w:rPr>
          <w:rFonts w:hint="eastAsia" w:ascii="方正小标宋简体" w:hAnsi="方正小标宋简体" w:eastAsia="方正小标宋简体" w:cs="宋体"/>
          <w:kern w:val="0"/>
          <w:sz w:val="44"/>
          <w:szCs w:val="32"/>
          <w:lang w:eastAsia="zh-CN"/>
        </w:rPr>
        <w:t>罗定</w:t>
      </w:r>
      <w:r>
        <w:rPr>
          <w:rFonts w:hint="eastAsia" w:ascii="方正小标宋简体" w:hAnsi="方正小标宋简体" w:eastAsia="方正小标宋简体" w:cs="宋体"/>
          <w:kern w:val="0"/>
          <w:sz w:val="44"/>
          <w:szCs w:val="32"/>
        </w:rPr>
        <w:t>市202</w:t>
      </w:r>
      <w:r>
        <w:rPr>
          <w:rFonts w:hint="eastAsia" w:ascii="方正小标宋简体" w:hAnsi="方正小标宋简体" w:eastAsia="方正小标宋简体" w:cs="宋体"/>
          <w:kern w:val="0"/>
          <w:sz w:val="44"/>
          <w:szCs w:val="32"/>
          <w:lang w:val="en-US" w:eastAsia="zh-CN"/>
        </w:rPr>
        <w:t>3</w:t>
      </w:r>
      <w:r>
        <w:rPr>
          <w:rFonts w:hint="eastAsia" w:ascii="方正小标宋简体" w:hAnsi="方正小标宋简体" w:eastAsia="方正小标宋简体" w:cs="宋体"/>
          <w:kern w:val="0"/>
          <w:sz w:val="44"/>
          <w:szCs w:val="32"/>
        </w:rPr>
        <w:t>年度市场监管领域各部门双随机抽查计划</w:t>
      </w:r>
    </w:p>
    <w:tbl>
      <w:tblPr>
        <w:tblStyle w:val="4"/>
        <w:tblW w:w="141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2"/>
        <w:gridCol w:w="948"/>
        <w:gridCol w:w="1088"/>
        <w:gridCol w:w="1305"/>
        <w:gridCol w:w="3810"/>
        <w:gridCol w:w="825"/>
        <w:gridCol w:w="1590"/>
        <w:gridCol w:w="1380"/>
        <w:gridCol w:w="1395"/>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blHeader/>
        </w:trPr>
        <w:tc>
          <w:tcPr>
            <w:tcW w:w="552"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
                <w:bCs/>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b/>
                <w:bCs/>
                <w:color w:val="000000" w:themeColor="text1"/>
                <w:kern w:val="0"/>
                <w:sz w:val="21"/>
                <w:szCs w:val="21"/>
                <w14:textFill>
                  <w14:solidFill>
                    <w14:schemeClr w14:val="tx1"/>
                  </w14:solidFill>
                </w14:textFill>
              </w:rPr>
              <w:t>序号</w:t>
            </w: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
                <w:bCs/>
                <w:color w:val="000000" w:themeColor="text1"/>
                <w:kern w:val="0"/>
                <w:sz w:val="21"/>
                <w:szCs w:val="21"/>
                <w:lang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0"/>
                <w:sz w:val="21"/>
                <w:szCs w:val="21"/>
                <w:lang w:eastAsia="zh-CN"/>
                <w14:textFill>
                  <w14:solidFill>
                    <w14:schemeClr w14:val="tx1"/>
                  </w14:solidFill>
                </w14:textFill>
              </w:rPr>
              <w:t>实施</w:t>
            </w: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
                <w:bCs/>
                <w:color w:val="000000" w:themeColor="text1"/>
                <w:kern w:val="0"/>
                <w:sz w:val="21"/>
                <w:szCs w:val="21"/>
                <w:lang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0"/>
                <w:sz w:val="21"/>
                <w:szCs w:val="21"/>
                <w:lang w:eastAsia="zh-CN"/>
                <w14:textFill>
                  <w14:solidFill>
                    <w14:schemeClr w14:val="tx1"/>
                  </w14:solidFill>
                </w14:textFill>
              </w:rPr>
              <w:t>部门</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
                <w:bCs/>
                <w:color w:val="000000" w:themeColor="text1"/>
                <w:kern w:val="0"/>
                <w:sz w:val="21"/>
                <w:szCs w:val="21"/>
                <w:lang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0"/>
                <w:sz w:val="21"/>
                <w:szCs w:val="21"/>
                <w:lang w:eastAsia="zh-CN"/>
                <w14:textFill>
                  <w14:solidFill>
                    <w14:schemeClr w14:val="tx1"/>
                  </w14:solidFill>
                </w14:textFill>
              </w:rPr>
              <w:t>负责</w:t>
            </w: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
                <w:bCs/>
                <w:color w:val="000000" w:themeColor="text1"/>
                <w:kern w:val="0"/>
                <w:sz w:val="21"/>
                <w:szCs w:val="21"/>
                <w:lang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0"/>
                <w:sz w:val="21"/>
                <w:szCs w:val="21"/>
                <w:lang w:eastAsia="zh-CN"/>
                <w14:textFill>
                  <w14:solidFill>
                    <w14:schemeClr w14:val="tx1"/>
                  </w14:solidFill>
                </w14:textFill>
              </w:rPr>
              <w:t>股室</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
                <w:bCs/>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b/>
                <w:bCs/>
                <w:color w:val="000000" w:themeColor="text1"/>
                <w:kern w:val="0"/>
                <w:sz w:val="21"/>
                <w:szCs w:val="21"/>
                <w14:textFill>
                  <w14:solidFill>
                    <w14:schemeClr w14:val="tx1"/>
                  </w14:solidFill>
                </w14:textFill>
              </w:rPr>
              <w:t>任务</w:t>
            </w:r>
            <w:bookmarkStart w:id="0" w:name="_GoBack"/>
            <w:bookmarkEnd w:id="0"/>
            <w:r>
              <w:rPr>
                <w:rFonts w:hint="eastAsia" w:asciiTheme="minorEastAsia" w:hAnsiTheme="minorEastAsia" w:eastAsiaTheme="minorEastAsia" w:cstheme="minorEastAsia"/>
                <w:b/>
                <w:bCs/>
                <w:color w:val="000000" w:themeColor="text1"/>
                <w:kern w:val="0"/>
                <w:sz w:val="21"/>
                <w:szCs w:val="21"/>
                <w14:textFill>
                  <w14:solidFill>
                    <w14:schemeClr w14:val="tx1"/>
                  </w14:solidFill>
                </w14:textFill>
              </w:rPr>
              <w:t>名称</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
                <w:bCs/>
                <w:color w:val="000000" w:themeColor="text1"/>
                <w:kern w:val="0"/>
                <w:sz w:val="21"/>
                <w:szCs w:val="21"/>
                <w:lang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0"/>
                <w:sz w:val="21"/>
                <w:szCs w:val="21"/>
                <w14:textFill>
                  <w14:solidFill>
                    <w14:schemeClr w14:val="tx1"/>
                  </w14:solidFill>
                </w14:textFill>
              </w:rPr>
              <w:t>抽查</w:t>
            </w:r>
            <w:r>
              <w:rPr>
                <w:rFonts w:hint="eastAsia" w:asciiTheme="minorEastAsia" w:hAnsiTheme="minorEastAsia" w:eastAsiaTheme="minorEastAsia" w:cstheme="minorEastAsia"/>
                <w:b/>
                <w:bCs/>
                <w:color w:val="000000" w:themeColor="text1"/>
                <w:kern w:val="0"/>
                <w:sz w:val="21"/>
                <w:szCs w:val="21"/>
                <w:lang w:eastAsia="zh-CN"/>
                <w14:textFill>
                  <w14:solidFill>
                    <w14:schemeClr w14:val="tx1"/>
                  </w14:solidFill>
                </w14:textFill>
              </w:rPr>
              <w:t>事项</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
                <w:bCs/>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b/>
                <w:bCs/>
                <w:color w:val="000000" w:themeColor="text1"/>
                <w:kern w:val="0"/>
                <w:sz w:val="21"/>
                <w:szCs w:val="21"/>
                <w14:textFill>
                  <w14:solidFill>
                    <w14:schemeClr w14:val="tx1"/>
                  </w14:solidFill>
                </w14:textFill>
              </w:rPr>
              <w:t>抽查</w:t>
            </w: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
                <w:bCs/>
                <w:color w:val="000000" w:themeColor="text1"/>
                <w:kern w:val="0"/>
                <w:sz w:val="21"/>
                <w:szCs w:val="21"/>
                <w:lang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0"/>
                <w:sz w:val="21"/>
                <w:szCs w:val="21"/>
                <w:lang w:eastAsia="zh-CN"/>
                <w14:textFill>
                  <w14:solidFill>
                    <w14:schemeClr w14:val="tx1"/>
                  </w14:solidFill>
                </w14:textFill>
              </w:rPr>
              <w:t>类别</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
                <w:bCs/>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b/>
                <w:bCs/>
                <w:color w:val="000000" w:themeColor="text1"/>
                <w:kern w:val="0"/>
                <w:sz w:val="21"/>
                <w:szCs w:val="21"/>
                <w14:textFill>
                  <w14:solidFill>
                    <w14:schemeClr w14:val="tx1"/>
                  </w14:solidFill>
                </w14:textFill>
              </w:rPr>
              <w:t>抽查对象</w:t>
            </w: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
                <w:bCs/>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b/>
                <w:bCs/>
                <w:color w:val="000000" w:themeColor="text1"/>
                <w:kern w:val="0"/>
                <w:sz w:val="21"/>
                <w:szCs w:val="21"/>
                <w14:textFill>
                  <w14:solidFill>
                    <w14:schemeClr w14:val="tx1"/>
                  </w14:solidFill>
                </w14:textFill>
              </w:rPr>
              <w:t>范围</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
                <w:bCs/>
                <w:color w:val="000000" w:themeColor="text1"/>
                <w:kern w:val="0"/>
                <w:sz w:val="21"/>
                <w:szCs w:val="21"/>
                <w:lang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0"/>
                <w:sz w:val="21"/>
                <w:szCs w:val="21"/>
                <w:lang w:eastAsia="zh-CN"/>
                <w14:textFill>
                  <w14:solidFill>
                    <w14:schemeClr w14:val="tx1"/>
                  </w14:solidFill>
                </w14:textFill>
              </w:rPr>
              <w:t>抽查对象</w:t>
            </w: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
                <w:bCs/>
                <w:color w:val="000000" w:themeColor="text1"/>
                <w:kern w:val="0"/>
                <w:sz w:val="21"/>
                <w:szCs w:val="21"/>
                <w:lang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0"/>
                <w:sz w:val="21"/>
                <w:szCs w:val="21"/>
                <w:lang w:eastAsia="zh-CN"/>
                <w14:textFill>
                  <w14:solidFill>
                    <w14:schemeClr w14:val="tx1"/>
                  </w14:solidFill>
                </w14:textFill>
              </w:rPr>
              <w:t>总数</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
                <w:bCs/>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b/>
                <w:bCs/>
                <w:color w:val="000000" w:themeColor="text1"/>
                <w:kern w:val="0"/>
                <w:sz w:val="21"/>
                <w:szCs w:val="21"/>
                <w14:textFill>
                  <w14:solidFill>
                    <w14:schemeClr w14:val="tx1"/>
                  </w14:solidFill>
                </w14:textFill>
              </w:rPr>
              <w:t>抽查</w:t>
            </w: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
                <w:bCs/>
                <w:color w:val="000000" w:themeColor="text1"/>
                <w:kern w:val="0"/>
                <w:sz w:val="21"/>
                <w:szCs w:val="21"/>
                <w:lang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0"/>
                <w:sz w:val="21"/>
                <w:szCs w:val="21"/>
                <w:lang w:eastAsia="zh-CN"/>
                <w14:textFill>
                  <w14:solidFill>
                    <w14:schemeClr w14:val="tx1"/>
                  </w14:solidFill>
                </w14:textFill>
              </w:rPr>
              <w:t>比例</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
                <w:bCs/>
                <w:color w:val="000000" w:themeColor="text1"/>
                <w:kern w:val="0"/>
                <w:sz w:val="21"/>
                <w:szCs w:val="21"/>
                <w:lang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0"/>
                <w:sz w:val="21"/>
                <w:szCs w:val="21"/>
                <w:lang w:eastAsia="zh-CN"/>
                <w14:textFill>
                  <w14:solidFill>
                    <w14:schemeClr w14:val="tx1"/>
                  </w14:solidFill>
                </w14:textFill>
              </w:rPr>
              <w:t>抽查时间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0"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市</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中医药</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中药管理股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全市中医医疗机构定向抽查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中医</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医疗机构资质、</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中医</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医务人员、</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中药、中医</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医疗器械、</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中医</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医疗技术、</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中医</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医疗文书、质量管理情况的检查。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登记执业的中医医疗机构</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5</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100%（根据检查对象不同风险级别设置差异化抽查比例）</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w:t>
            </w: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月至1</w:t>
            </w: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0</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2"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市发展</w:t>
            </w:r>
            <w:r>
              <w:rPr>
                <w:rFonts w:hint="eastAsia" w:ascii="宋体" w:hAnsi="宋体" w:cs="宋体"/>
                <w:color w:val="000000" w:themeColor="text1"/>
                <w:kern w:val="0"/>
                <w:sz w:val="21"/>
                <w:szCs w:val="21"/>
                <w:lang w:eastAsia="zh-CN"/>
                <w14:textFill>
                  <w14:solidFill>
                    <w14:schemeClr w14:val="tx1"/>
                  </w14:solidFill>
                </w14:textFill>
              </w:rPr>
              <w:t>和</w:t>
            </w:r>
            <w:r>
              <w:rPr>
                <w:rFonts w:hint="eastAsia" w:ascii="宋体" w:hAnsi="宋体" w:eastAsia="宋体" w:cs="宋体"/>
                <w:color w:val="000000" w:themeColor="text1"/>
                <w:kern w:val="0"/>
                <w:sz w:val="21"/>
                <w:szCs w:val="21"/>
                <w:lang w:eastAsia="zh-CN"/>
                <w14:textFill>
                  <w14:solidFill>
                    <w14:schemeClr w14:val="tx1"/>
                  </w14:solidFill>
                </w14:textFill>
              </w:rPr>
              <w:t>改革局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投资管理</w:t>
            </w:r>
            <w:r>
              <w:rPr>
                <w:rFonts w:hint="eastAsia" w:ascii="宋体" w:hAnsi="宋体" w:cs="宋体"/>
                <w:color w:val="000000" w:themeColor="text1"/>
                <w:kern w:val="0"/>
                <w:sz w:val="21"/>
                <w:szCs w:val="21"/>
                <w:lang w:eastAsia="zh-CN"/>
                <w14:textFill>
                  <w14:solidFill>
                    <w14:schemeClr w14:val="tx1"/>
                  </w14:solidFill>
                </w14:textFill>
              </w:rPr>
              <w:t>股</w:t>
            </w:r>
            <w:r>
              <w:rPr>
                <w:rFonts w:hint="eastAsia" w:ascii="宋体" w:hAnsi="宋体" w:eastAsia="宋体" w:cs="宋体"/>
                <w:color w:val="000000" w:themeColor="text1"/>
                <w:kern w:val="0"/>
                <w:sz w:val="21"/>
                <w:szCs w:val="21"/>
                <w:lang w:eastAsia="zh-CN"/>
                <w14:textFill>
                  <w14:solidFill>
                    <w14:schemeClr w14:val="tx1"/>
                  </w14:solidFill>
                </w14:textFill>
              </w:rPr>
              <w:t>、农村经济</w:t>
            </w:r>
            <w:r>
              <w:rPr>
                <w:rFonts w:hint="eastAsia" w:ascii="宋体" w:hAnsi="宋体" w:cs="宋体"/>
                <w:color w:val="000000" w:themeColor="text1"/>
                <w:kern w:val="0"/>
                <w:sz w:val="21"/>
                <w:szCs w:val="21"/>
                <w:lang w:eastAsia="zh-CN"/>
                <w14:textFill>
                  <w14:solidFill>
                    <w14:schemeClr w14:val="tx1"/>
                  </w14:solidFill>
                </w14:textFill>
              </w:rPr>
              <w:t>股</w:t>
            </w:r>
            <w:r>
              <w:rPr>
                <w:rFonts w:hint="eastAsia" w:ascii="宋体" w:hAnsi="宋体" w:eastAsia="宋体" w:cs="宋体"/>
                <w:color w:val="000000" w:themeColor="text1"/>
                <w:kern w:val="0"/>
                <w:sz w:val="21"/>
                <w:szCs w:val="21"/>
                <w:lang w:eastAsia="zh-CN"/>
                <w14:textFill>
                  <w14:solidFill>
                    <w14:schemeClr w14:val="tx1"/>
                  </w14:solidFill>
                </w14:textFill>
              </w:rPr>
              <w:t>、能源</w:t>
            </w:r>
            <w:r>
              <w:rPr>
                <w:rFonts w:hint="eastAsia" w:ascii="宋体" w:hAnsi="宋体" w:cs="宋体"/>
                <w:color w:val="000000" w:themeColor="text1"/>
                <w:kern w:val="0"/>
                <w:sz w:val="21"/>
                <w:szCs w:val="21"/>
                <w:lang w:eastAsia="zh-CN"/>
                <w14:textFill>
                  <w14:solidFill>
                    <w14:schemeClr w14:val="tx1"/>
                  </w14:solidFill>
                </w14:textFill>
              </w:rPr>
              <w:t>股</w:t>
            </w:r>
            <w:r>
              <w:rPr>
                <w:rFonts w:hint="eastAsia" w:ascii="宋体" w:hAnsi="宋体" w:eastAsia="宋体" w:cs="宋体"/>
                <w:color w:val="000000" w:themeColor="text1"/>
                <w:kern w:val="0"/>
                <w:sz w:val="21"/>
                <w:szCs w:val="21"/>
                <w:lang w:eastAsia="zh-CN"/>
                <w14:textFill>
                  <w14:solidFill>
                    <w14:schemeClr w14:val="tx1"/>
                  </w14:solidFill>
                </w14:textFill>
              </w:rPr>
              <w:t>、社会发展</w:t>
            </w:r>
            <w:r>
              <w:rPr>
                <w:rFonts w:hint="eastAsia" w:ascii="宋体" w:hAnsi="宋体" w:cs="宋体"/>
                <w:color w:val="000000" w:themeColor="text1"/>
                <w:kern w:val="0"/>
                <w:sz w:val="21"/>
                <w:szCs w:val="21"/>
                <w:lang w:eastAsia="zh-CN"/>
                <w14:textFill>
                  <w14:solidFill>
                    <w14:schemeClr w14:val="tx1"/>
                  </w14:solidFill>
                </w14:textFill>
              </w:rPr>
              <w:t>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对固定资产投资项目的监管</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一、对已核准的项目，应当对以下方面进行抽查检查：</w:t>
            </w:r>
          </w:p>
          <w:p>
            <w:pPr>
              <w:pStyle w:val="6"/>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1.是否通过全国投资项目在线审批监管平台（以下简称在线平台），如实、及时报送项目开工建设、建设进度、竣工等建设实施基本信息；</w:t>
            </w:r>
          </w:p>
          <w:p>
            <w:pPr>
              <w:pStyle w:val="6"/>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2.需要变更已核准建设地点或者对已核准建设规模、建设内容等作较大变更的，是否按规定办理变更手续；</w:t>
            </w:r>
          </w:p>
          <w:p>
            <w:pPr>
              <w:pStyle w:val="6"/>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3.需要延期开工建设的，是否按规定办理延期开工建设手续；</w:t>
            </w:r>
          </w:p>
          <w:p>
            <w:pPr>
              <w:pStyle w:val="6"/>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4.是否按照核准的建设地点、建设规模、建设内容等进行建设。</w:t>
            </w:r>
          </w:p>
          <w:p>
            <w:pPr>
              <w:pStyle w:val="6"/>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二、对已备案的项目，应当对以下方面进行抽查检查：</w:t>
            </w:r>
          </w:p>
          <w:p>
            <w:pPr>
              <w:pStyle w:val="6"/>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1.是否通过在线平台如实、及时报送项目开工建设、建设进度、竣工等建设实施基本信息；</w:t>
            </w:r>
          </w:p>
          <w:p>
            <w:pPr>
              <w:pStyle w:val="6"/>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2.是否属于实行核准管理的项目；</w:t>
            </w:r>
          </w:p>
          <w:p>
            <w:pPr>
              <w:pStyle w:val="6"/>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3.是否按照备案的建设地点、建设规模、建设内容进行建设；</w:t>
            </w:r>
          </w:p>
          <w:p>
            <w:pPr>
              <w:pStyle w:val="6"/>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4.是否属于产业政策禁止投资建设的项目。</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在县级以上发展</w:t>
            </w:r>
            <w:r>
              <w:rPr>
                <w:rFonts w:hint="eastAsia" w:ascii="宋体" w:hAnsi="宋体" w:cs="宋体"/>
                <w:color w:val="000000" w:themeColor="text1"/>
                <w:kern w:val="0"/>
                <w:sz w:val="21"/>
                <w:szCs w:val="21"/>
                <w:lang w:eastAsia="zh-CN"/>
                <w14:textFill>
                  <w14:solidFill>
                    <w14:schemeClr w14:val="tx1"/>
                  </w14:solidFill>
                </w14:textFill>
              </w:rPr>
              <w:t>和</w:t>
            </w:r>
            <w:r>
              <w:rPr>
                <w:rFonts w:hint="eastAsia" w:ascii="宋体" w:hAnsi="宋体" w:eastAsia="宋体" w:cs="宋体"/>
                <w:color w:val="000000" w:themeColor="text1"/>
                <w:kern w:val="0"/>
                <w:sz w:val="21"/>
                <w:szCs w:val="21"/>
                <w14:textFill>
                  <w14:solidFill>
                    <w14:schemeClr w14:val="tx1"/>
                  </w14:solidFill>
                </w14:textFill>
              </w:rPr>
              <w:t>改革部门核准和备案且已开工建设的企业投资项目</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20</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对核准项目100%；对备案类项目10%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年内</w:t>
            </w:r>
            <w:r>
              <w:rPr>
                <w:rFonts w:hint="eastAsia" w:ascii="宋体" w:hAnsi="宋体" w:eastAsia="宋体" w:cs="宋体"/>
                <w:color w:val="000000" w:themeColor="text1"/>
                <w:kern w:val="0"/>
                <w:sz w:val="21"/>
                <w:szCs w:val="21"/>
                <w:lang w:val="en-US" w:eastAsia="zh-CN"/>
                <w14:textFill>
                  <w14:solidFill>
                    <w14:schemeClr w14:val="tx1"/>
                  </w14:solidFill>
                </w14:textFill>
              </w:rPr>
              <w:t>1-2次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0"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市发展</w:t>
            </w:r>
            <w:r>
              <w:rPr>
                <w:rFonts w:hint="eastAsia" w:ascii="宋体" w:hAnsi="宋体" w:cs="宋体"/>
                <w:color w:val="000000" w:themeColor="text1"/>
                <w:kern w:val="0"/>
                <w:sz w:val="21"/>
                <w:szCs w:val="21"/>
                <w:lang w:eastAsia="zh-CN"/>
                <w14:textFill>
                  <w14:solidFill>
                    <w14:schemeClr w14:val="tx1"/>
                  </w14:solidFill>
                </w14:textFill>
              </w:rPr>
              <w:t>和</w:t>
            </w:r>
            <w:r>
              <w:rPr>
                <w:rFonts w:hint="eastAsia" w:ascii="宋体" w:hAnsi="宋体" w:eastAsia="宋体" w:cs="宋体"/>
                <w:color w:val="000000" w:themeColor="text1"/>
                <w:kern w:val="0"/>
                <w:sz w:val="21"/>
                <w:szCs w:val="21"/>
                <w:lang w:eastAsia="zh-CN"/>
                <w14:textFill>
                  <w14:solidFill>
                    <w14:schemeClr w14:val="tx1"/>
                  </w14:solidFill>
                </w14:textFill>
              </w:rPr>
              <w:t>改革局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投资管理</w:t>
            </w:r>
            <w:r>
              <w:rPr>
                <w:rFonts w:hint="eastAsia" w:ascii="宋体" w:hAnsi="宋体" w:cs="宋体"/>
                <w:color w:val="000000" w:themeColor="text1"/>
                <w:kern w:val="0"/>
                <w:sz w:val="21"/>
                <w:szCs w:val="21"/>
                <w:lang w:eastAsia="zh-CN"/>
                <w14:textFill>
                  <w14:solidFill>
                    <w14:schemeClr w14:val="tx1"/>
                  </w14:solidFill>
                </w14:textFill>
              </w:rPr>
              <w:t>股</w:t>
            </w:r>
            <w:r>
              <w:rPr>
                <w:rFonts w:hint="eastAsia" w:ascii="宋体" w:hAnsi="宋体" w:eastAsia="宋体" w:cs="宋体"/>
                <w:color w:val="000000" w:themeColor="text1"/>
                <w:kern w:val="0"/>
                <w:sz w:val="21"/>
                <w:szCs w:val="21"/>
                <w:lang w:eastAsia="zh-CN"/>
                <w14:textFill>
                  <w14:solidFill>
                    <w14:schemeClr w14:val="tx1"/>
                  </w14:solidFill>
                </w14:textFill>
              </w:rPr>
              <w:t>、农村经济</w:t>
            </w:r>
            <w:r>
              <w:rPr>
                <w:rFonts w:hint="eastAsia" w:ascii="宋体" w:hAnsi="宋体" w:cs="宋体"/>
                <w:color w:val="000000" w:themeColor="text1"/>
                <w:kern w:val="0"/>
                <w:sz w:val="21"/>
                <w:szCs w:val="21"/>
                <w:lang w:eastAsia="zh-CN"/>
                <w14:textFill>
                  <w14:solidFill>
                    <w14:schemeClr w14:val="tx1"/>
                  </w14:solidFill>
                </w14:textFill>
              </w:rPr>
              <w:t>股</w:t>
            </w:r>
            <w:r>
              <w:rPr>
                <w:rFonts w:hint="eastAsia" w:ascii="宋体" w:hAnsi="宋体" w:eastAsia="宋体" w:cs="宋体"/>
                <w:color w:val="000000" w:themeColor="text1"/>
                <w:kern w:val="0"/>
                <w:sz w:val="21"/>
                <w:szCs w:val="21"/>
                <w:lang w:eastAsia="zh-CN"/>
                <w14:textFill>
                  <w14:solidFill>
                    <w14:schemeClr w14:val="tx1"/>
                  </w14:solidFill>
                </w14:textFill>
              </w:rPr>
              <w:t>、能源</w:t>
            </w:r>
            <w:r>
              <w:rPr>
                <w:rFonts w:hint="eastAsia" w:ascii="宋体" w:hAnsi="宋体" w:cs="宋体"/>
                <w:color w:val="000000" w:themeColor="text1"/>
                <w:kern w:val="0"/>
                <w:sz w:val="21"/>
                <w:szCs w:val="21"/>
                <w:lang w:eastAsia="zh-CN"/>
                <w14:textFill>
                  <w14:solidFill>
                    <w14:schemeClr w14:val="tx1"/>
                  </w14:solidFill>
                </w14:textFill>
              </w:rPr>
              <w:t>股</w:t>
            </w:r>
            <w:r>
              <w:rPr>
                <w:rFonts w:hint="eastAsia" w:ascii="宋体" w:hAnsi="宋体" w:eastAsia="宋体" w:cs="宋体"/>
                <w:color w:val="000000" w:themeColor="text1"/>
                <w:kern w:val="0"/>
                <w:sz w:val="21"/>
                <w:szCs w:val="21"/>
                <w:lang w:eastAsia="zh-CN"/>
                <w14:textFill>
                  <w14:solidFill>
                    <w14:schemeClr w14:val="tx1"/>
                  </w14:solidFill>
                </w14:textFill>
              </w:rPr>
              <w:t>、社会发展</w:t>
            </w:r>
            <w:r>
              <w:rPr>
                <w:rFonts w:hint="eastAsia" w:ascii="宋体" w:hAnsi="宋体" w:cs="宋体"/>
                <w:color w:val="000000" w:themeColor="text1"/>
                <w:kern w:val="0"/>
                <w:sz w:val="21"/>
                <w:szCs w:val="21"/>
                <w:lang w:eastAsia="zh-CN"/>
                <w14:textFill>
                  <w14:solidFill>
                    <w14:schemeClr w14:val="tx1"/>
                  </w14:solidFill>
                </w14:textFill>
              </w:rPr>
              <w:t>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对中央预算内投资项目的监管</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一、对未开工项目应当对以下方面进行抽查检查：</w:t>
            </w:r>
          </w:p>
          <w:p>
            <w:pPr>
              <w:pStyle w:val="6"/>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1.中央资金到位情况；</w:t>
            </w:r>
          </w:p>
          <w:p>
            <w:pPr>
              <w:pStyle w:val="6"/>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2.未开工原因；</w:t>
            </w:r>
          </w:p>
          <w:p>
            <w:pPr>
              <w:pStyle w:val="6"/>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3.计划开工时间；</w:t>
            </w:r>
          </w:p>
          <w:p>
            <w:pPr>
              <w:pStyle w:val="6"/>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4.下一步工作举措。</w:t>
            </w:r>
          </w:p>
          <w:p>
            <w:pPr>
              <w:pStyle w:val="6"/>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二、对进度滞后项目应当对以下方面进行抽查检查：</w:t>
            </w:r>
          </w:p>
          <w:p>
            <w:pPr>
              <w:pStyle w:val="6"/>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1.项目建设实际进展情况；</w:t>
            </w:r>
          </w:p>
          <w:p>
            <w:pPr>
              <w:pStyle w:val="6"/>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2.中央资金到位、完成、支付情况；</w:t>
            </w:r>
          </w:p>
          <w:p>
            <w:pPr>
              <w:pStyle w:val="6"/>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3.项目建设滞后原因；</w:t>
            </w:r>
          </w:p>
          <w:p>
            <w:pPr>
              <w:pStyle w:val="6"/>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4.下一步工作举措。</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省下达我市的中央预算内投资项目</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5</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年内</w:t>
            </w:r>
            <w:r>
              <w:rPr>
                <w:rFonts w:hint="eastAsia" w:ascii="宋体" w:hAnsi="宋体" w:eastAsia="宋体" w:cs="宋体"/>
                <w:color w:val="000000" w:themeColor="text1"/>
                <w:kern w:val="0"/>
                <w:sz w:val="21"/>
                <w:szCs w:val="21"/>
                <w:lang w:val="en-US" w:eastAsia="zh-CN"/>
                <w14:textFill>
                  <w14:solidFill>
                    <w14:schemeClr w14:val="tx1"/>
                  </w14:solidFill>
                </w14:textFill>
              </w:rPr>
              <w:t>1-2次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市发展</w:t>
            </w:r>
            <w:r>
              <w:rPr>
                <w:rFonts w:hint="eastAsia" w:ascii="宋体" w:hAnsi="宋体" w:cs="宋体"/>
                <w:color w:val="000000" w:themeColor="text1"/>
                <w:kern w:val="0"/>
                <w:sz w:val="21"/>
                <w:szCs w:val="21"/>
                <w:lang w:eastAsia="zh-CN"/>
                <w14:textFill>
                  <w14:solidFill>
                    <w14:schemeClr w14:val="tx1"/>
                  </w14:solidFill>
                </w14:textFill>
              </w:rPr>
              <w:t>和</w:t>
            </w:r>
            <w:r>
              <w:rPr>
                <w:rFonts w:hint="eastAsia" w:ascii="宋体" w:hAnsi="宋体" w:eastAsia="宋体" w:cs="宋体"/>
                <w:color w:val="000000" w:themeColor="text1"/>
                <w:kern w:val="0"/>
                <w:sz w:val="21"/>
                <w:szCs w:val="21"/>
                <w:lang w:eastAsia="zh-CN"/>
                <w14:textFill>
                  <w14:solidFill>
                    <w14:schemeClr w14:val="tx1"/>
                  </w14:solidFill>
                </w14:textFill>
              </w:rPr>
              <w:t>改革局</w:t>
            </w:r>
          </w:p>
        </w:tc>
        <w:tc>
          <w:tcPr>
            <w:tcW w:w="1088" w:type="dxa"/>
            <w:vMerge w:val="restart"/>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投资管理</w:t>
            </w:r>
            <w:r>
              <w:rPr>
                <w:rFonts w:hint="eastAsia" w:ascii="宋体" w:hAnsi="宋体" w:cs="宋体"/>
                <w:color w:val="000000" w:themeColor="text1"/>
                <w:kern w:val="0"/>
                <w:sz w:val="21"/>
                <w:szCs w:val="21"/>
                <w:lang w:eastAsia="zh-CN"/>
                <w14:textFill>
                  <w14:solidFill>
                    <w14:schemeClr w14:val="tx1"/>
                  </w14:solidFill>
                </w14:textFill>
              </w:rPr>
              <w:t>股</w:t>
            </w:r>
            <w:r>
              <w:rPr>
                <w:rFonts w:hint="eastAsia" w:ascii="宋体" w:hAnsi="宋体" w:eastAsia="宋体" w:cs="宋体"/>
                <w:color w:val="000000" w:themeColor="text1"/>
                <w:kern w:val="0"/>
                <w:sz w:val="21"/>
                <w:szCs w:val="21"/>
                <w:lang w:eastAsia="zh-CN"/>
                <w14:textFill>
                  <w14:solidFill>
                    <w14:schemeClr w14:val="tx1"/>
                  </w14:solidFill>
                </w14:textFill>
              </w:rPr>
              <w:t>、农村经济</w:t>
            </w:r>
            <w:r>
              <w:rPr>
                <w:rFonts w:hint="eastAsia" w:ascii="宋体" w:hAnsi="宋体" w:cs="宋体"/>
                <w:color w:val="000000" w:themeColor="text1"/>
                <w:kern w:val="0"/>
                <w:sz w:val="21"/>
                <w:szCs w:val="21"/>
                <w:lang w:eastAsia="zh-CN"/>
                <w14:textFill>
                  <w14:solidFill>
                    <w14:schemeClr w14:val="tx1"/>
                  </w14:solidFill>
                </w14:textFill>
              </w:rPr>
              <w:t>股</w:t>
            </w:r>
            <w:r>
              <w:rPr>
                <w:rFonts w:hint="eastAsia" w:ascii="宋体" w:hAnsi="宋体" w:eastAsia="宋体" w:cs="宋体"/>
                <w:color w:val="000000" w:themeColor="text1"/>
                <w:kern w:val="0"/>
                <w:sz w:val="21"/>
                <w:szCs w:val="21"/>
                <w:lang w:eastAsia="zh-CN"/>
                <w14:textFill>
                  <w14:solidFill>
                    <w14:schemeClr w14:val="tx1"/>
                  </w14:solidFill>
                </w14:textFill>
              </w:rPr>
              <w:t>、能源</w:t>
            </w:r>
            <w:r>
              <w:rPr>
                <w:rFonts w:hint="eastAsia" w:ascii="宋体" w:hAnsi="宋体" w:cs="宋体"/>
                <w:color w:val="000000" w:themeColor="text1"/>
                <w:kern w:val="0"/>
                <w:sz w:val="21"/>
                <w:szCs w:val="21"/>
                <w:lang w:eastAsia="zh-CN"/>
                <w14:textFill>
                  <w14:solidFill>
                    <w14:schemeClr w14:val="tx1"/>
                  </w14:solidFill>
                </w14:textFill>
              </w:rPr>
              <w:t>股</w:t>
            </w:r>
            <w:r>
              <w:rPr>
                <w:rFonts w:hint="eastAsia" w:ascii="宋体" w:hAnsi="宋体" w:eastAsia="宋体" w:cs="宋体"/>
                <w:color w:val="000000" w:themeColor="text1"/>
                <w:kern w:val="0"/>
                <w:sz w:val="21"/>
                <w:szCs w:val="21"/>
                <w:lang w:eastAsia="zh-CN"/>
                <w14:textFill>
                  <w14:solidFill>
                    <w14:schemeClr w14:val="tx1"/>
                  </w14:solidFill>
                </w14:textFill>
              </w:rPr>
              <w:t>、社会发展</w:t>
            </w:r>
            <w:r>
              <w:rPr>
                <w:rFonts w:hint="eastAsia" w:ascii="宋体" w:hAnsi="宋体" w:cs="宋体"/>
                <w:color w:val="000000" w:themeColor="text1"/>
                <w:kern w:val="0"/>
                <w:sz w:val="21"/>
                <w:szCs w:val="21"/>
                <w:lang w:eastAsia="zh-CN"/>
                <w14:textFill>
                  <w14:solidFill>
                    <w14:schemeClr w14:val="tx1"/>
                  </w14:solidFill>
                </w14:textFill>
              </w:rPr>
              <w:t>股</w:t>
            </w: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工程建设项目招标投标监管</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依法必须招标项目的招标投标活动行为主体是否遵守法律、法规和有关管理规定，重点关注招标文件编制、招标公告发布、资格审查、开标、评标、定标、异议答复、中标候选人公示和中标结果公开、招标投标情况书面报告等关键环节；</w:t>
            </w:r>
          </w:p>
          <w:p>
            <w:pPr>
              <w:pStyle w:val="6"/>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2.招标代理机构的代理行为是否符合法律、法规和有关管理规定；</w:t>
            </w:r>
          </w:p>
          <w:p>
            <w:pPr>
              <w:pStyle w:val="6"/>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3.依法必须招标项目中标人是否按规定签订合同。</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正在开展招标活动和结束招标活动不足两年的依法必须招标项目</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 w:val="21"/>
                <w:szCs w:val="21"/>
                <w:lang w:val="en-US" w:eastAsia="zh-CN"/>
                <w14:textFill>
                  <w14:solidFill>
                    <w14:schemeClr w14:val="tx1"/>
                  </w14:solidFill>
                </w14:textFill>
              </w:rPr>
              <w:t>10</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不低于3%，其中近一年内开展招标项目的比例不低于80%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eastAsia="zh-CN"/>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年内不少于</w:t>
            </w:r>
          </w:p>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2次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2"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市发展</w:t>
            </w:r>
            <w:r>
              <w:rPr>
                <w:rFonts w:hint="eastAsia" w:ascii="宋体" w:hAnsi="宋体" w:cs="宋体"/>
                <w:color w:val="000000" w:themeColor="text1"/>
                <w:kern w:val="0"/>
                <w:sz w:val="21"/>
                <w:szCs w:val="21"/>
                <w:lang w:eastAsia="zh-CN"/>
                <w14:textFill>
                  <w14:solidFill>
                    <w14:schemeClr w14:val="tx1"/>
                  </w14:solidFill>
                </w14:textFill>
              </w:rPr>
              <w:t>和</w:t>
            </w:r>
            <w:r>
              <w:rPr>
                <w:rFonts w:hint="eastAsia" w:ascii="宋体" w:hAnsi="宋体" w:eastAsia="宋体" w:cs="宋体"/>
                <w:color w:val="000000" w:themeColor="text1"/>
                <w:kern w:val="0"/>
                <w:sz w:val="21"/>
                <w:szCs w:val="21"/>
                <w:lang w:eastAsia="zh-CN"/>
                <w14:textFill>
                  <w14:solidFill>
                    <w14:schemeClr w14:val="tx1"/>
                  </w14:solidFill>
                </w14:textFill>
              </w:rPr>
              <w:t>改革局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对本区域供用电工作的监督检查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依法对电力企业和用户执行电力法律、行政法规的情况进行监督检查。对区域内的用电及安全情况进行监督检查。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供电企业和用户</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100%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年内</w:t>
            </w:r>
            <w:r>
              <w:rPr>
                <w:rFonts w:hint="eastAsia" w:ascii="宋体" w:hAnsi="宋体" w:eastAsia="宋体" w:cs="宋体"/>
                <w:color w:val="000000" w:themeColor="text1"/>
                <w:kern w:val="0"/>
                <w:sz w:val="21"/>
                <w:szCs w:val="21"/>
                <w:lang w:val="en-US" w:eastAsia="zh-CN"/>
                <w14:textFill>
                  <w14:solidFill>
                    <w14:schemeClr w14:val="tx1"/>
                  </w14:solidFill>
                </w14:textFill>
              </w:rPr>
              <w:t>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2"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市发展</w:t>
            </w:r>
            <w:r>
              <w:rPr>
                <w:rFonts w:hint="eastAsia" w:ascii="宋体" w:hAnsi="宋体" w:cs="宋体"/>
                <w:color w:val="000000" w:themeColor="text1"/>
                <w:kern w:val="0"/>
                <w:sz w:val="21"/>
                <w:szCs w:val="21"/>
                <w:lang w:eastAsia="zh-CN"/>
                <w14:textFill>
                  <w14:solidFill>
                    <w14:schemeClr w14:val="tx1"/>
                  </w14:solidFill>
                </w14:textFill>
              </w:rPr>
              <w:t>和</w:t>
            </w:r>
            <w:r>
              <w:rPr>
                <w:rFonts w:hint="eastAsia" w:ascii="宋体" w:hAnsi="宋体" w:eastAsia="宋体" w:cs="宋体"/>
                <w:color w:val="000000" w:themeColor="text1"/>
                <w:kern w:val="0"/>
                <w:sz w:val="21"/>
                <w:szCs w:val="21"/>
                <w:lang w:eastAsia="zh-CN"/>
                <w14:textFill>
                  <w14:solidFill>
                    <w14:schemeClr w14:val="tx1"/>
                  </w14:solidFill>
                </w14:textFill>
              </w:rPr>
              <w:t>改革局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供电、用电的监督检查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依法对电力企业和用户执行电力法律、行政法规的情况进行监督检查。对区域内的用电及安全情况进行监督检查。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供电企业和用户</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100%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年内</w:t>
            </w:r>
            <w:r>
              <w:rPr>
                <w:rFonts w:hint="eastAsia" w:ascii="宋体" w:hAnsi="宋体" w:eastAsia="宋体" w:cs="宋体"/>
                <w:color w:val="000000" w:themeColor="text1"/>
                <w:kern w:val="0"/>
                <w:sz w:val="21"/>
                <w:szCs w:val="21"/>
                <w:lang w:val="en-US" w:eastAsia="zh-CN"/>
                <w14:textFill>
                  <w14:solidFill>
                    <w14:schemeClr w14:val="tx1"/>
                  </w14:solidFill>
                </w14:textFill>
              </w:rPr>
              <w:t>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2"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市发展</w:t>
            </w:r>
            <w:r>
              <w:rPr>
                <w:rFonts w:hint="eastAsia" w:ascii="宋体" w:hAnsi="宋体" w:cs="宋体"/>
                <w:color w:val="000000" w:themeColor="text1"/>
                <w:kern w:val="0"/>
                <w:sz w:val="21"/>
                <w:szCs w:val="21"/>
                <w:lang w:eastAsia="zh-CN"/>
                <w14:textFill>
                  <w14:solidFill>
                    <w14:schemeClr w14:val="tx1"/>
                  </w14:solidFill>
                </w14:textFill>
              </w:rPr>
              <w:t>和</w:t>
            </w:r>
            <w:r>
              <w:rPr>
                <w:rFonts w:hint="eastAsia" w:ascii="宋体" w:hAnsi="宋体" w:eastAsia="宋体" w:cs="宋体"/>
                <w:color w:val="000000" w:themeColor="text1"/>
                <w:kern w:val="0"/>
                <w:sz w:val="21"/>
                <w:szCs w:val="21"/>
                <w:lang w:eastAsia="zh-CN"/>
                <w14:textFill>
                  <w14:solidFill>
                    <w14:schemeClr w14:val="tx1"/>
                  </w14:solidFill>
                </w14:textFill>
              </w:rPr>
              <w:t>改革局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成品油经营企业年度检查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成品油零售经营企业年检登记表；《成品油零售经营批准证书》正、副本复印件及副本原件；《营业执照》；《危险化学品经营许可证》；符合《成品油市场管理办法》要求的成品油供油协议和供油企业成品油经营批准证书；成品油购进、销售情况报告或报表；加油站的产权证明文件（加油站《国有土地使用证》或土地使用批准文件），租赁经营企业需提供租赁合同及出租方土地使用批准文件。</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成品油经营企业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 w:val="21"/>
                <w:szCs w:val="21"/>
                <w:lang w:val="en-US" w:eastAsia="zh-CN"/>
                <w14:textFill>
                  <w14:solidFill>
                    <w14:schemeClr w14:val="tx1"/>
                  </w14:solidFill>
                </w14:textFill>
              </w:rPr>
              <w:t>63</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100%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年内</w:t>
            </w:r>
            <w:r>
              <w:rPr>
                <w:rFonts w:hint="eastAsia" w:ascii="宋体" w:hAnsi="宋体" w:eastAsia="宋体" w:cs="宋体"/>
                <w:color w:val="000000" w:themeColor="text1"/>
                <w:kern w:val="0"/>
                <w:sz w:val="21"/>
                <w:szCs w:val="21"/>
                <w:lang w:val="en-US" w:eastAsia="zh-CN"/>
                <w14:textFill>
                  <w14:solidFill>
                    <w14:schemeClr w14:val="tx1"/>
                  </w14:solidFill>
                </w14:textFill>
              </w:rPr>
              <w:t>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市发展</w:t>
            </w:r>
            <w:r>
              <w:rPr>
                <w:rFonts w:hint="eastAsia" w:ascii="宋体" w:hAnsi="宋体" w:cs="宋体"/>
                <w:color w:val="000000" w:themeColor="text1"/>
                <w:kern w:val="0"/>
                <w:sz w:val="21"/>
                <w:szCs w:val="21"/>
                <w:lang w:eastAsia="zh-CN"/>
                <w14:textFill>
                  <w14:solidFill>
                    <w14:schemeClr w14:val="tx1"/>
                  </w14:solidFill>
                </w14:textFill>
              </w:rPr>
              <w:t>和</w:t>
            </w:r>
            <w:r>
              <w:rPr>
                <w:rFonts w:hint="eastAsia" w:ascii="宋体" w:hAnsi="宋体" w:eastAsia="宋体" w:cs="宋体"/>
                <w:color w:val="000000" w:themeColor="text1"/>
                <w:kern w:val="0"/>
                <w:sz w:val="21"/>
                <w:szCs w:val="21"/>
                <w:lang w:eastAsia="zh-CN"/>
                <w14:textFill>
                  <w14:solidFill>
                    <w14:schemeClr w14:val="tx1"/>
                  </w14:solidFill>
                </w14:textFill>
              </w:rPr>
              <w:t>改革局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 w:val="21"/>
                <w:szCs w:val="21"/>
                <w:lang w:eastAsia="zh-CN"/>
                <w14:textFill>
                  <w14:solidFill>
                    <w14:schemeClr w14:val="tx1"/>
                  </w14:solidFill>
                </w14:textFill>
              </w:rPr>
              <w:t>能源股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节能</w:t>
            </w:r>
            <w:r>
              <w:rPr>
                <w:rFonts w:hint="eastAsia" w:ascii="宋体" w:hAnsi="宋体" w:eastAsia="宋体" w:cs="宋体"/>
                <w:color w:val="000000" w:themeColor="text1"/>
                <w:kern w:val="0"/>
                <w:sz w:val="21"/>
                <w:szCs w:val="21"/>
                <w:lang w:eastAsia="zh-CN"/>
                <w14:textFill>
                  <w14:solidFill>
                    <w14:schemeClr w14:val="tx1"/>
                  </w14:solidFill>
                </w14:textFill>
              </w:rPr>
              <w:t>监察</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对节能法律、法规和节能标准执行情况的监督检查，依法查处违法用能行为。</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用能单位</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 w:val="21"/>
                <w:szCs w:val="21"/>
                <w:lang w:val="en-US" w:eastAsia="zh-CN"/>
                <w14:textFill>
                  <w14:solidFill>
                    <w14:schemeClr w14:val="tx1"/>
                  </w14:solidFill>
                </w14:textFill>
              </w:rPr>
              <w:t>5</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100%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年内</w:t>
            </w:r>
            <w:r>
              <w:rPr>
                <w:rFonts w:hint="eastAsia" w:ascii="宋体" w:hAnsi="宋体" w:eastAsia="宋体" w:cs="宋体"/>
                <w:color w:val="000000" w:themeColor="text1"/>
                <w:kern w:val="0"/>
                <w:sz w:val="21"/>
                <w:szCs w:val="21"/>
                <w:lang w:val="en-US" w:eastAsia="zh-CN"/>
                <w14:textFill>
                  <w14:solidFill>
                    <w14:schemeClr w14:val="tx1"/>
                  </w14:solidFill>
                </w14:textFill>
              </w:rPr>
              <w:t>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6"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市发展</w:t>
            </w:r>
            <w:r>
              <w:rPr>
                <w:rFonts w:hint="eastAsia" w:ascii="宋体" w:hAnsi="宋体" w:cs="宋体"/>
                <w:color w:val="000000" w:themeColor="text1"/>
                <w:kern w:val="0"/>
                <w:sz w:val="21"/>
                <w:szCs w:val="21"/>
                <w:lang w:eastAsia="zh-CN"/>
                <w14:textFill>
                  <w14:solidFill>
                    <w14:schemeClr w14:val="tx1"/>
                  </w14:solidFill>
                </w14:textFill>
              </w:rPr>
              <w:t>和</w:t>
            </w:r>
            <w:r>
              <w:rPr>
                <w:rFonts w:hint="eastAsia" w:ascii="宋体" w:hAnsi="宋体" w:eastAsia="宋体" w:cs="宋体"/>
                <w:color w:val="000000" w:themeColor="text1"/>
                <w:kern w:val="0"/>
                <w:sz w:val="21"/>
                <w:szCs w:val="21"/>
                <w:lang w:eastAsia="zh-CN"/>
                <w14:textFill>
                  <w14:solidFill>
                    <w14:schemeClr w14:val="tx1"/>
                  </w14:solidFill>
                </w14:textFill>
              </w:rPr>
              <w:t>改革局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 w:val="21"/>
                <w:szCs w:val="21"/>
                <w:lang w:eastAsia="zh-CN"/>
                <w14:textFill>
                  <w14:solidFill>
                    <w14:schemeClr w14:val="tx1"/>
                  </w14:solidFill>
                </w14:textFill>
              </w:rPr>
              <w:t>能源股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石油天然气管道保护检查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检查有关单位是否履行石油天然气管道保护义务；检查是否存在危害管道安全的违法行为等。</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油气管道企业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 w:val="21"/>
                <w:szCs w:val="21"/>
                <w:lang w:val="en-US" w:eastAsia="zh-CN"/>
                <w14:textFill>
                  <w14:solidFill>
                    <w14:schemeClr w14:val="tx1"/>
                  </w14:solidFill>
                </w14:textFill>
              </w:rPr>
              <w:t>0</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100%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每季度</w:t>
            </w:r>
            <w:r>
              <w:rPr>
                <w:rFonts w:hint="eastAsia" w:ascii="宋体" w:hAnsi="宋体" w:eastAsia="宋体" w:cs="宋体"/>
                <w:color w:val="000000" w:themeColor="text1"/>
                <w:kern w:val="0"/>
                <w:sz w:val="21"/>
                <w:szCs w:val="21"/>
                <w:lang w:val="en-US" w:eastAsia="zh-CN"/>
                <w14:textFill>
                  <w14:solidFill>
                    <w14:schemeClr w14:val="tx1"/>
                  </w14:solidFill>
                </w14:textFill>
              </w:rPr>
              <w:t>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 w:eastAsia="zh-CN"/>
                <w14:textFill>
                  <w14:solidFill>
                    <w14:schemeClr w14:val="tx1"/>
                  </w14:solidFill>
                </w14:textFill>
              </w:rPr>
              <w:t>市教育局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校安办</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学校安全</w:t>
            </w: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工作</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落实安全管理责任情</w:t>
            </w: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况</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；开展安全教育、安全隐患排查</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整治</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情况</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各县（市、区）教育局及市直属学校</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13</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50%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w:t>
            </w: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月至1</w:t>
            </w: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1"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市科技局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both"/>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成果转化与专家服务</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市外国人来华工作许可监督检查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企业聘请外籍人员的情况</w:t>
            </w: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云浮市内聘用外国人员工作的企业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11</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14:textFill>
                  <w14:solidFill>
                    <w14:schemeClr w14:val="tx1"/>
                  </w14:solidFill>
                </w14:textFill>
              </w:rPr>
              <w:t>45</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2023年6月前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8"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市工业和信息化局</w:t>
            </w:r>
          </w:p>
        </w:tc>
        <w:tc>
          <w:tcPr>
            <w:tcW w:w="1088" w:type="dxa"/>
            <w:noWrap w:val="0"/>
            <w:vAlign w:val="center"/>
          </w:tcPr>
          <w:p>
            <w:pPr>
              <w:pStyle w:val="3"/>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产业与装备业股</w:t>
            </w: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both"/>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民用爆炸物品生产销售企业安全生产</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抽查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民用爆炸物品安全生产综合检查。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省工业和信息化厅许可的民爆物品生产、销售企业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5</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20%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w:t>
            </w: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月至</w:t>
            </w: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11</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2"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市民政局</w:t>
            </w:r>
          </w:p>
        </w:tc>
        <w:tc>
          <w:tcPr>
            <w:tcW w:w="1088" w:type="dxa"/>
            <w:vMerge w:val="restart"/>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社会组织管理</w:t>
            </w: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股</w:t>
            </w: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一般性社会团体检查</w:t>
            </w:r>
          </w:p>
        </w:tc>
        <w:tc>
          <w:tcPr>
            <w:tcW w:w="3810" w:type="dxa"/>
            <w:noWrap w:val="0"/>
            <w:vAlign w:val="center"/>
          </w:tcPr>
          <w:p>
            <w:pPr>
              <w:pStyle w:val="6"/>
              <w:keepNext w:val="0"/>
              <w:keepLines w:val="0"/>
              <w:pageBreakBefore w:val="0"/>
              <w:widowControl/>
              <w:numPr>
                <w:ilvl w:val="0"/>
                <w:numId w:val="0"/>
              </w:numPr>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1.</w:t>
            </w: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执行社会组织相关登记管理条例的情况</w:t>
            </w: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w:t>
            </w:r>
          </w:p>
          <w:p>
            <w:pPr>
              <w:pStyle w:val="6"/>
              <w:keepNext w:val="0"/>
              <w:keepLines w:val="0"/>
              <w:pageBreakBefore w:val="0"/>
              <w:widowControl/>
              <w:numPr>
                <w:ilvl w:val="0"/>
                <w:numId w:val="0"/>
              </w:numPr>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2.</w:t>
            </w: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按照章程规定的宗旨和业务范围开展活动情况</w:t>
            </w: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w:t>
            </w:r>
          </w:p>
          <w:p>
            <w:pPr>
              <w:pStyle w:val="6"/>
              <w:keepNext w:val="0"/>
              <w:keepLines w:val="0"/>
              <w:pageBreakBefore w:val="0"/>
              <w:widowControl/>
              <w:numPr>
                <w:ilvl w:val="0"/>
                <w:numId w:val="0"/>
              </w:numPr>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3.</w:t>
            </w: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财务管理情况</w:t>
            </w: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w:t>
            </w:r>
          </w:p>
          <w:p>
            <w:pPr>
              <w:pStyle w:val="6"/>
              <w:keepNext w:val="0"/>
              <w:keepLines w:val="0"/>
              <w:pageBreakBefore w:val="0"/>
              <w:widowControl/>
              <w:numPr>
                <w:ilvl w:val="0"/>
                <w:numId w:val="0"/>
              </w:numPr>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4.</w:t>
            </w: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消防安全情况</w:t>
            </w: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等。</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一般性社会团体</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120</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按全市登记在册的社会组织总数（246家）的4%</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2023年</w:t>
            </w: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4</w:t>
            </w: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月至</w:t>
            </w: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10</w:t>
            </w: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7"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市民政局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民办非企业单位检查</w:t>
            </w:r>
          </w:p>
        </w:tc>
        <w:tc>
          <w:tcPr>
            <w:tcW w:w="3810" w:type="dxa"/>
            <w:noWrap w:val="0"/>
            <w:vAlign w:val="center"/>
          </w:tcPr>
          <w:p>
            <w:pPr>
              <w:pStyle w:val="6"/>
              <w:keepNext w:val="0"/>
              <w:keepLines w:val="0"/>
              <w:pageBreakBefore w:val="0"/>
              <w:widowControl/>
              <w:numPr>
                <w:ilvl w:val="0"/>
                <w:numId w:val="0"/>
              </w:numPr>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1.</w:t>
            </w: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执行社会组织相关登记管理条例的情况</w:t>
            </w: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w:t>
            </w:r>
          </w:p>
          <w:p>
            <w:pPr>
              <w:pStyle w:val="6"/>
              <w:keepNext w:val="0"/>
              <w:keepLines w:val="0"/>
              <w:pageBreakBefore w:val="0"/>
              <w:widowControl/>
              <w:numPr>
                <w:ilvl w:val="0"/>
                <w:numId w:val="0"/>
              </w:numPr>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2.</w:t>
            </w: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按照章程规定的宗旨和业务范围开展活动情况</w:t>
            </w: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w:t>
            </w:r>
          </w:p>
          <w:p>
            <w:pPr>
              <w:pStyle w:val="6"/>
              <w:keepNext w:val="0"/>
              <w:keepLines w:val="0"/>
              <w:pageBreakBefore w:val="0"/>
              <w:widowControl/>
              <w:numPr>
                <w:ilvl w:val="0"/>
                <w:numId w:val="0"/>
              </w:numPr>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3.财务管理情况</w:t>
            </w: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w:t>
            </w:r>
          </w:p>
          <w:p>
            <w:pPr>
              <w:pStyle w:val="6"/>
              <w:keepNext w:val="0"/>
              <w:keepLines w:val="0"/>
              <w:pageBreakBefore w:val="0"/>
              <w:widowControl/>
              <w:numPr>
                <w:ilvl w:val="0"/>
                <w:numId w:val="0"/>
              </w:numPr>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4.</w:t>
            </w: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消防安全情况</w:t>
            </w: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等。</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民办非企业单位</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53</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按全市登记在册的社会组织总数（246家）的4%</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2023年4月至10月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7"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市民政局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基金会检查</w:t>
            </w:r>
          </w:p>
        </w:tc>
        <w:tc>
          <w:tcPr>
            <w:tcW w:w="3810" w:type="dxa"/>
            <w:noWrap w:val="0"/>
            <w:vAlign w:val="center"/>
          </w:tcPr>
          <w:p>
            <w:pPr>
              <w:pStyle w:val="6"/>
              <w:keepNext w:val="0"/>
              <w:keepLines w:val="0"/>
              <w:pageBreakBefore w:val="0"/>
              <w:widowControl/>
              <w:numPr>
                <w:ilvl w:val="0"/>
                <w:numId w:val="0"/>
              </w:numPr>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1.</w:t>
            </w: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执行社会组织相关登记管理条例的情况</w:t>
            </w: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w:t>
            </w:r>
          </w:p>
          <w:p>
            <w:pPr>
              <w:pStyle w:val="6"/>
              <w:keepNext w:val="0"/>
              <w:keepLines w:val="0"/>
              <w:pageBreakBefore w:val="0"/>
              <w:widowControl/>
              <w:numPr>
                <w:ilvl w:val="0"/>
                <w:numId w:val="0"/>
              </w:numPr>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2.</w:t>
            </w: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按照章程规定的宗旨和业务范围开展活动情况</w:t>
            </w: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w:t>
            </w:r>
          </w:p>
          <w:p>
            <w:pPr>
              <w:pStyle w:val="6"/>
              <w:keepNext w:val="0"/>
              <w:keepLines w:val="0"/>
              <w:pageBreakBefore w:val="0"/>
              <w:widowControl/>
              <w:numPr>
                <w:ilvl w:val="0"/>
                <w:numId w:val="0"/>
              </w:numPr>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3.</w:t>
            </w: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财务管理情况</w:t>
            </w: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w:t>
            </w:r>
          </w:p>
          <w:p>
            <w:pPr>
              <w:pStyle w:val="6"/>
              <w:keepNext w:val="0"/>
              <w:keepLines w:val="0"/>
              <w:pageBreakBefore w:val="0"/>
              <w:widowControl/>
              <w:numPr>
                <w:ilvl w:val="0"/>
                <w:numId w:val="0"/>
              </w:numPr>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4.</w:t>
            </w: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消防安全情况</w:t>
            </w: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等。</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基金会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30</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按全市登记在册的社会组织总数（246家）的4%</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2023年4月至10月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2"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市民政局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行业协会商会综合检查</w:t>
            </w:r>
          </w:p>
        </w:tc>
        <w:tc>
          <w:tcPr>
            <w:tcW w:w="3810" w:type="dxa"/>
            <w:noWrap w:val="0"/>
            <w:vAlign w:val="center"/>
          </w:tcPr>
          <w:p>
            <w:pPr>
              <w:pStyle w:val="6"/>
              <w:keepNext w:val="0"/>
              <w:keepLines w:val="0"/>
              <w:pageBreakBefore w:val="0"/>
              <w:widowControl/>
              <w:numPr>
                <w:ilvl w:val="0"/>
                <w:numId w:val="0"/>
              </w:numPr>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1.</w:t>
            </w: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执行社会组织相关登记管理条例的情况</w:t>
            </w: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w:t>
            </w:r>
          </w:p>
          <w:p>
            <w:pPr>
              <w:pStyle w:val="6"/>
              <w:keepNext w:val="0"/>
              <w:keepLines w:val="0"/>
              <w:pageBreakBefore w:val="0"/>
              <w:widowControl/>
              <w:numPr>
                <w:ilvl w:val="0"/>
                <w:numId w:val="0"/>
              </w:numPr>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2.</w:t>
            </w: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按照章程规定的宗旨和业务范围开展活动情况</w:t>
            </w: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w:t>
            </w:r>
          </w:p>
          <w:p>
            <w:pPr>
              <w:pStyle w:val="6"/>
              <w:keepNext w:val="0"/>
              <w:keepLines w:val="0"/>
              <w:pageBreakBefore w:val="0"/>
              <w:widowControl/>
              <w:numPr>
                <w:ilvl w:val="0"/>
                <w:numId w:val="0"/>
              </w:numPr>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3.</w:t>
            </w: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财务管理情况</w:t>
            </w: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w:t>
            </w:r>
          </w:p>
          <w:p>
            <w:pPr>
              <w:pStyle w:val="6"/>
              <w:keepNext w:val="0"/>
              <w:keepLines w:val="0"/>
              <w:pageBreakBefore w:val="0"/>
              <w:widowControl/>
              <w:numPr>
                <w:ilvl w:val="0"/>
                <w:numId w:val="0"/>
              </w:numPr>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4.</w:t>
            </w: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消防安全情况</w:t>
            </w: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等。</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行业协会商会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43</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按全市登记在册的社会组织总数（246家）的4%</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2023年4月至10月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2"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市民政局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区划地名股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地名管理“双随机一公开”抽查监督</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开展2023年地名管理“双随机一公开”抽查监督。</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2015年-2022年间申报市辖区内建筑物、住宅区命名、更名核准事项的单位或企业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35</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5%</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2023年10月至11月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6"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市民政局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社会福利和社会事务股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全市</w:t>
            </w: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经营性公墓</w:t>
            </w: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不定向抽查</w:t>
            </w:r>
          </w:p>
        </w:tc>
        <w:tc>
          <w:tcPr>
            <w:tcW w:w="3810" w:type="dxa"/>
            <w:noWrap w:val="0"/>
            <w:vAlign w:val="center"/>
          </w:tcPr>
          <w:p>
            <w:pPr>
              <w:pStyle w:val="6"/>
              <w:keepNext w:val="0"/>
              <w:keepLines w:val="0"/>
              <w:pageBreakBefore w:val="0"/>
              <w:widowControl/>
              <w:numPr>
                <w:ilvl w:val="0"/>
                <w:numId w:val="0"/>
              </w:numPr>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1.</w:t>
            </w: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遵守法律、法规、规章和政策性规定情况</w:t>
            </w: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w:t>
            </w:r>
          </w:p>
          <w:p>
            <w:pPr>
              <w:pStyle w:val="6"/>
              <w:keepNext w:val="0"/>
              <w:keepLines w:val="0"/>
              <w:pageBreakBefore w:val="0"/>
              <w:widowControl/>
              <w:numPr>
                <w:ilvl w:val="0"/>
                <w:numId w:val="0"/>
              </w:numPr>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2.</w:t>
            </w: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公墓建设、墓区环境与配套设施。</w:t>
            </w:r>
          </w:p>
          <w:p>
            <w:pPr>
              <w:pStyle w:val="6"/>
              <w:keepNext w:val="0"/>
              <w:keepLines w:val="0"/>
              <w:pageBreakBefore w:val="0"/>
              <w:widowControl/>
              <w:numPr>
                <w:ilvl w:val="0"/>
                <w:numId w:val="0"/>
              </w:numPr>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3.</w:t>
            </w: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内部管理与队伍建设</w:t>
            </w: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w:t>
            </w:r>
          </w:p>
          <w:p>
            <w:pPr>
              <w:pStyle w:val="6"/>
              <w:keepNext w:val="0"/>
              <w:keepLines w:val="0"/>
              <w:pageBreakBefore w:val="0"/>
              <w:widowControl/>
              <w:numPr>
                <w:ilvl w:val="0"/>
                <w:numId w:val="0"/>
              </w:numPr>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4.</w:t>
            </w: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经营服务情况</w:t>
            </w: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w:t>
            </w:r>
          </w:p>
          <w:p>
            <w:pPr>
              <w:pStyle w:val="6"/>
              <w:keepNext w:val="0"/>
              <w:keepLines w:val="0"/>
              <w:pageBreakBefore w:val="0"/>
              <w:widowControl/>
              <w:numPr>
                <w:ilvl w:val="0"/>
                <w:numId w:val="0"/>
              </w:numPr>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5.促进殡葬改革情况。</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经营性公墓</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3</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100%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2023年5月至12月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市民政局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社会福利和社会事务股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全市养老机构</w:t>
            </w:r>
            <w:r>
              <w:rPr>
                <w:rFonts w:hint="eastAsia" w:asciiTheme="minorEastAsia" w:hAnsiTheme="minorEastAsia" w:eastAsiaTheme="minorEastAsia" w:cstheme="minorEastAsia"/>
                <w:bCs/>
                <w:color w:val="000000" w:themeColor="text1"/>
                <w:kern w:val="0"/>
                <w:sz w:val="21"/>
                <w:szCs w:val="21"/>
                <w14:textFill>
                  <w14:solidFill>
                    <w14:schemeClr w14:val="tx1"/>
                  </w14:solidFill>
                </w14:textFill>
              </w:rPr>
              <w:t>不定向抽查</w:t>
            </w:r>
          </w:p>
        </w:tc>
        <w:tc>
          <w:tcPr>
            <w:tcW w:w="3810" w:type="dxa"/>
            <w:noWrap w:val="0"/>
            <w:vAlign w:val="center"/>
          </w:tcPr>
          <w:p>
            <w:pPr>
              <w:pStyle w:val="6"/>
              <w:keepNext w:val="0"/>
              <w:keepLines w:val="0"/>
              <w:pageBreakBefore w:val="0"/>
              <w:widowControl/>
              <w:numPr>
                <w:ilvl w:val="0"/>
                <w:numId w:val="0"/>
              </w:numPr>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1.</w:t>
            </w: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养老机构服务安全和质量方面的情况；</w:t>
            </w:r>
          </w:p>
          <w:p>
            <w:pPr>
              <w:pStyle w:val="6"/>
              <w:keepNext w:val="0"/>
              <w:keepLines w:val="0"/>
              <w:pageBreakBefore w:val="0"/>
              <w:widowControl/>
              <w:numPr>
                <w:ilvl w:val="0"/>
                <w:numId w:val="0"/>
              </w:numPr>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2.</w:t>
            </w: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养老机构在建筑、消防、食品、医疗卫生、环境保护、特种设备等方面的情况。</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eastAsia="zh-CN"/>
                <w14:textFill>
                  <w14:solidFill>
                    <w14:schemeClr w14:val="tx1"/>
                  </w14:solidFill>
                </w14:textFill>
              </w:rPr>
              <w:t>养老机构</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58</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4%</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2023年5月至12月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9"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市司法局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律师工作管理股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对律师事务所、律师的监督检查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对律师事务所、律师的监督检查。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全市律师事务所、律师</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44</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5%</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2023年4月至11月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市司法局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公共法律服务管理股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司法鉴定机构检查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司法鉴定机构经营资质、经营行为进行检查。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全市司法鉴定机构</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3</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30%（根据检查对象不同风险级别设置差异化抽查比例）</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2023年5月至10月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市财政</w:t>
            </w:r>
            <w:r>
              <w:rPr>
                <w:rStyle w:val="8"/>
                <w:rFonts w:hint="eastAsia" w:asciiTheme="minorEastAsia" w:hAnsiTheme="minorEastAsia" w:eastAsiaTheme="minorEastAsia" w:cstheme="minorEastAsia"/>
                <w:color w:val="000000" w:themeColor="text1"/>
                <w:sz w:val="21"/>
                <w:szCs w:val="21"/>
                <w:lang w:val="en-US" w:eastAsia="zh-CN" w:bidi="ar"/>
                <w14:textFill>
                  <w14:solidFill>
                    <w14:schemeClr w14:val="tx1"/>
                  </w14:solidFill>
                </w14:textFill>
              </w:rPr>
              <w:t>局</w:t>
            </w:r>
          </w:p>
        </w:tc>
        <w:tc>
          <w:tcPr>
            <w:tcW w:w="108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会计和监督股</w:t>
            </w:r>
          </w:p>
        </w:tc>
        <w:tc>
          <w:tcPr>
            <w:tcW w:w="13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代理记账机构设立情况检查</w:t>
            </w:r>
          </w:p>
        </w:tc>
        <w:tc>
          <w:tcPr>
            <w:tcW w:w="38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代理记账机构设立情况、对应业务。</w:t>
            </w:r>
          </w:p>
        </w:tc>
        <w:tc>
          <w:tcPr>
            <w:tcW w:w="8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定向</w:t>
            </w:r>
          </w:p>
        </w:tc>
        <w:tc>
          <w:tcPr>
            <w:tcW w:w="15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2022年正常营业的代理记账机构</w:t>
            </w:r>
          </w:p>
        </w:tc>
        <w:tc>
          <w:tcPr>
            <w:tcW w:w="138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83</w:t>
            </w:r>
          </w:p>
        </w:tc>
        <w:tc>
          <w:tcPr>
            <w:tcW w:w="13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6%</w:t>
            </w:r>
          </w:p>
        </w:tc>
        <w:tc>
          <w:tcPr>
            <w:tcW w:w="12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2023年下半年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5"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市财政</w:t>
            </w:r>
            <w:r>
              <w:rPr>
                <w:rStyle w:val="8"/>
                <w:rFonts w:hint="eastAsia" w:asciiTheme="minorEastAsia" w:hAnsiTheme="minorEastAsia" w:eastAsiaTheme="minorEastAsia" w:cstheme="minorEastAsia"/>
                <w:color w:val="000000" w:themeColor="text1"/>
                <w:sz w:val="21"/>
                <w:szCs w:val="21"/>
                <w:lang w:val="en-US" w:eastAsia="zh-CN" w:bidi="ar"/>
                <w14:textFill>
                  <w14:solidFill>
                    <w14:schemeClr w14:val="tx1"/>
                  </w14:solidFill>
                </w14:textFill>
              </w:rPr>
              <w:t>局</w:t>
            </w:r>
          </w:p>
        </w:tc>
        <w:tc>
          <w:tcPr>
            <w:tcW w:w="108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政府采购监管股</w:t>
            </w:r>
          </w:p>
        </w:tc>
        <w:tc>
          <w:tcPr>
            <w:tcW w:w="13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政府采购代理机构执业情况检查</w:t>
            </w:r>
          </w:p>
        </w:tc>
        <w:tc>
          <w:tcPr>
            <w:tcW w:w="38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依据政府采购相关法律法规对被检查单位执业情况进行检查。依据评价指标体系对参加评价单位相关情况开展评价工作，评价指标体系主要包括企业基本情况、业绩与人员情况、管理情况、失信与处理处罚情况4个一级指标以及11个二级指标，根据企业从业人员数量、业绩等因素，按照成长型、综合型两类进行分别评价。</w:t>
            </w:r>
          </w:p>
        </w:tc>
        <w:tc>
          <w:tcPr>
            <w:tcW w:w="82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定向</w:t>
            </w:r>
          </w:p>
        </w:tc>
        <w:tc>
          <w:tcPr>
            <w:tcW w:w="15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按照抽取比率不得低于本市代理机构总量的25%，同时兼顾所辖县(县级市、区)之间平衡的原则抽取对象。</w:t>
            </w:r>
          </w:p>
        </w:tc>
        <w:tc>
          <w:tcPr>
            <w:tcW w:w="138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全市政府采购代理机构</w:t>
            </w:r>
          </w:p>
        </w:tc>
        <w:tc>
          <w:tcPr>
            <w:tcW w:w="13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25%</w:t>
            </w:r>
          </w:p>
        </w:tc>
        <w:tc>
          <w:tcPr>
            <w:tcW w:w="12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2023年下半年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2"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市人力资源社会保障局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培训与职业能力建设股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学校办学情况定向抽查</w:t>
            </w:r>
          </w:p>
        </w:tc>
        <w:tc>
          <w:tcPr>
            <w:tcW w:w="381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学校招生、办学、学校食堂食品安全情况的检查。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全市技工院校</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2</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100%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2023年4月至12月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市人力资源社会保障局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劳动关系股</w:t>
            </w: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8838029</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劳动用工监管</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劳务派遣用工检查。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劳务派遣</w:t>
            </w: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相关单位</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75</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7%</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t>2023年6月至11月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9"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市自然资源局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耕保修复</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土地复垦活动监督检查</w:t>
            </w:r>
          </w:p>
        </w:tc>
        <w:tc>
          <w:tcPr>
            <w:tcW w:w="3810" w:type="dxa"/>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line="300" w:lineRule="exact"/>
              <w:ind w:left="0" w:leftChars="0" w:right="0" w:rightChars="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shd w:val="clear" w:color="auto" w:fill="FFFFFF"/>
                <w:lang w:val="en-US" w:eastAsia="zh-CN" w:bidi="ar"/>
                <w14:textFill>
                  <w14:solidFill>
                    <w14:schemeClr w14:val="tx1"/>
                  </w14:solidFill>
                </w14:textFill>
              </w:rPr>
              <w:t>临时用地复垦情况抽查。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line="300" w:lineRule="exact"/>
              <w:ind w:left="0" w:leftChars="0" w:right="0" w:rightChars="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2023年到期临时用地单位</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18</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5%</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2023年9月至12月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市自然资源局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测绘地理信息管理股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云浮市测绘质量监督检查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对测绘资质单位测绘成果质量、测绘资质条件等非成果类监督抽查。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全市测绘资质单位</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12</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34%</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w:t>
            </w: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月至1</w:t>
            </w: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0</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0"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市</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生态环境</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局</w:t>
            </w:r>
          </w:p>
        </w:tc>
        <w:tc>
          <w:tcPr>
            <w:tcW w:w="1088" w:type="dxa"/>
            <w:vMerge w:val="restart"/>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生态环境督查执法</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对排放污染物的企业事业单位和其他生产经营者的行政检查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以排污许可证后监管为核心，重点围绕围绕环评批复情况、竣工验收情况、“三同时”执行情况、排污口规范化情况、废气废水排放合规性情况、固废处置情况、自行监测情况、环境管理台账情况、执行报告情况、自行监测信息公开情况、环境信息公开情况等开展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日常随机抽查</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排放污染物的企业事业单位和其他生产经营者</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广东省量化平台排污单位数量</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重点监管对象12.5%；</w:t>
            </w: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both"/>
              <w:textAlignment w:val="auto"/>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一般监管对象1：2.5（按照在岗在编执法人员数量与被抽查对象的比）；</w:t>
            </w: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特殊监管对象25%。</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每季度抽查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5"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市</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生态环境</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对建设项目三同时和竣工自主验收情况的检查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重点围绕环评批复情况、建设项目进展情况、“三同时”制度落实情况等开展检查。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日常随机抽查</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建设项目</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广东省量化平台建设项目数量</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重点建设项目2.5%；</w:t>
            </w: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一般建设项目1：2.5（按照在岗在编执法人员数量与被抽查对象的比）；</w:t>
            </w: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特殊建设项目2.5%。</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每季度抽查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5"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市</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生态环境</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局</w:t>
            </w:r>
          </w:p>
        </w:tc>
        <w:tc>
          <w:tcPr>
            <w:tcW w:w="1088" w:type="dxa"/>
            <w:vMerge w:val="restart"/>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自然生态</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对土壤污染重点监管单位落实土壤污染防治义务的行政检查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土壤污染重点监管单位排污许可制度执行情况，落实土壤污染隐患排查、自行监测、有毒有害物质地下储罐备案等法定义务落实情况，以及生产经营过程中所有可能产生污染的环节土壤污染防治情况</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日常随机抽查</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生态环境主管部门每年度公开发布的土壤污染重点监管单位名录内的企事业单位</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广东省量化平台土壤污染重点监管单位数量</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每个季度5%，每年20%。</w:t>
            </w: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第二、三、四季度抽查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0"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市</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生态环境</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对建设用地依法落实土壤污染风险管控和修复措施的行政检查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建设用地地块依法依规开展土壤污染状况调查、风险评估、风险管控和修复、效果评估的情况，土壤污染风险管控和修复过程中的二次污染防治情况，及暂不开发利用地块风险管控情况等</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日常随机抽查</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本行政区域内纳入建设用地土壤污染风险管控和修复名录的地块、存在土壤污染风险的暂不开发利用地块</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广东省量化平台纳入建设用地依法落实土壤污染风险管控和修复措施地块数量</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100%。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每月抽查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0"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市</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生态环境</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环评监测排放管理</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对生态环境监测机构数据质量的行政检查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监测活动开展是否规范，是否存在数据失实或篡改、伪造生态环境监测数据行为</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日常随机抽查</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生态环境监测机构</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广东省量化平台生态环境监测机构数量</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25%。</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第二、三、四季度各抽查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市住房城乡建设局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工程质量安全监管</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全市房屋市政工程质量安全文明施工管理综合执法抽查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房屋建筑工程参建各方主体责任落实情况；在建房屋建筑工程项目质量、安全及大气污染防治情况。</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2023年在建工地</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363</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10%（按每季度更新的被检项目台账，对在建项目的实际情况实行分类管控，根据检查对象不同风险级别设置差异化抽查比例）</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2023年3月至12月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市住房城乡建设局</w:t>
            </w:r>
          </w:p>
        </w:tc>
        <w:tc>
          <w:tcPr>
            <w:tcW w:w="1088" w:type="dxa"/>
            <w:vMerge w:val="restart"/>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住房发展与房地产市场监管</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全市房地产市场双随机检查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2023年度云浮市房地产市场“双随机、一公开”抽查</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2023年在售房地产项目、中介营业场所</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184</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5%（以实际印发方案为准）</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2023年3月至12月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市住房城乡建设局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全市物业管理“双随机、一公开”检查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2023年度物业管理“双随机、一公开”抽查</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全市物业服务企业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146</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5%（以实际印发方案为准）</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2023年5月至12月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5"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市住房城乡建设局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公用事业管理</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云浮市燃气企业经营情况“双随机、一公开”检查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2023年度云浮市燃气企业经营情况“双随机、一公开”抽查</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全市燃气经营企业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
                <w14:textFill>
                  <w14:solidFill>
                    <w14:schemeClr w14:val="tx1"/>
                  </w14:solidFill>
                </w14:textFill>
              </w:rPr>
              <w:t>26</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5%（以实际印发方案为准）</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2023年1月至12月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市交通运输局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执法监督股</w:t>
            </w:r>
          </w:p>
        </w:tc>
        <w:tc>
          <w:tcPr>
            <w:tcW w:w="13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货物装载源头超限超载配货监督检查</w:t>
            </w:r>
          </w:p>
        </w:tc>
        <w:tc>
          <w:tcPr>
            <w:tcW w:w="38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货物装载源头超限超载配货监督检查。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定向</w:t>
            </w:r>
          </w:p>
        </w:tc>
        <w:tc>
          <w:tcPr>
            <w:tcW w:w="15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辖区重点运输企业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15</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20%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2023年1月至12月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市交通运输局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执法一股</w:t>
            </w:r>
          </w:p>
        </w:tc>
        <w:tc>
          <w:tcPr>
            <w:tcW w:w="13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机动车维修行业安全生产检查</w:t>
            </w:r>
          </w:p>
        </w:tc>
        <w:tc>
          <w:tcPr>
            <w:tcW w:w="38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机动车维修行业安全生产检查。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定向</w:t>
            </w:r>
          </w:p>
        </w:tc>
        <w:tc>
          <w:tcPr>
            <w:tcW w:w="15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辖区机动车维修企业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598</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1%</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2023年1月至12月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市交通运输局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运输股</w:t>
            </w:r>
          </w:p>
        </w:tc>
        <w:tc>
          <w:tcPr>
            <w:tcW w:w="13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客运企业安全生产检查</w:t>
            </w:r>
          </w:p>
        </w:tc>
        <w:tc>
          <w:tcPr>
            <w:tcW w:w="38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客运企业安全生产检查。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定向</w:t>
            </w:r>
          </w:p>
        </w:tc>
        <w:tc>
          <w:tcPr>
            <w:tcW w:w="15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道路运输企业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15</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13.3%</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2023年5月至10月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市交通运输局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运输股</w:t>
            </w:r>
          </w:p>
        </w:tc>
        <w:tc>
          <w:tcPr>
            <w:tcW w:w="13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驾培行业安全生产检查</w:t>
            </w:r>
          </w:p>
        </w:tc>
        <w:tc>
          <w:tcPr>
            <w:tcW w:w="38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驾培行业安全生产检查。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定向</w:t>
            </w:r>
          </w:p>
        </w:tc>
        <w:tc>
          <w:tcPr>
            <w:tcW w:w="15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驾培企业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25</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12%</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2023年6月至11月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市交通运输局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路政股</w:t>
            </w:r>
          </w:p>
        </w:tc>
        <w:tc>
          <w:tcPr>
            <w:tcW w:w="13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路政施工安全生产检查</w:t>
            </w:r>
          </w:p>
        </w:tc>
        <w:tc>
          <w:tcPr>
            <w:tcW w:w="38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路政施工安全生产检查。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定向</w:t>
            </w:r>
          </w:p>
        </w:tc>
        <w:tc>
          <w:tcPr>
            <w:tcW w:w="15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涉路施工被许可人</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根据当年实际审批涉路施工活动许可案件量决定</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50%（对其中不少于一半的许可案件开展不少于一次的监督检查）</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2023年4月至12月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市交通运输局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工程质量造价股</w:t>
            </w:r>
          </w:p>
        </w:tc>
        <w:tc>
          <w:tcPr>
            <w:tcW w:w="13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公路水运工程安全生产检查</w:t>
            </w:r>
          </w:p>
        </w:tc>
        <w:tc>
          <w:tcPr>
            <w:tcW w:w="38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公路水运工程安全生产检查。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定向</w:t>
            </w:r>
          </w:p>
        </w:tc>
        <w:tc>
          <w:tcPr>
            <w:tcW w:w="15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交通运输工程从业单位</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30</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10%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2023年6月至2023年12月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市交通运输局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基建股</w:t>
            </w:r>
          </w:p>
        </w:tc>
        <w:tc>
          <w:tcPr>
            <w:tcW w:w="13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交通建设市场综合督查</w:t>
            </w:r>
          </w:p>
        </w:tc>
        <w:tc>
          <w:tcPr>
            <w:tcW w:w="38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交通建设市场综合督查。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定向</w:t>
            </w:r>
          </w:p>
        </w:tc>
        <w:tc>
          <w:tcPr>
            <w:tcW w:w="15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eastAsiaTheme="minorEastAsia" w:cstheme="minorEastAsia"/>
                <w:i w:val="0"/>
                <w:iCs w:val="0"/>
                <w:color w:val="000000" w:themeColor="text1"/>
                <w:kern w:val="0"/>
                <w:sz w:val="21"/>
                <w:szCs w:val="21"/>
                <w:u w:val="none"/>
                <w:lang w:val="en-US" w:eastAsia="zh-CN" w:bidi="ar"/>
                <w14:textFill>
                  <w14:solidFill>
                    <w14:schemeClr w14:val="tx1"/>
                  </w14:solidFill>
                </w14:textFill>
              </w:rPr>
              <w:t>交通工程建设项目</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30</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10%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2023年6月至2023年12月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市水务局</w:t>
            </w:r>
          </w:p>
        </w:tc>
        <w:tc>
          <w:tcPr>
            <w:tcW w:w="1088"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t>防御股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t>取用水行为检查</w:t>
            </w:r>
          </w:p>
        </w:tc>
        <w:tc>
          <w:tcPr>
            <w:tcW w:w="381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对单位/个人取用水行为的行政检查</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w:t>
            </w:r>
          </w:p>
        </w:tc>
        <w:tc>
          <w:tcPr>
            <w:tcW w:w="82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定向</w:t>
            </w:r>
          </w:p>
        </w:tc>
        <w:tc>
          <w:tcPr>
            <w:tcW w:w="159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已取得取水许可证的取水单位</w:t>
            </w:r>
          </w:p>
        </w:tc>
        <w:tc>
          <w:tcPr>
            <w:tcW w:w="138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highlight w:val="none"/>
                <w:shd w:val="clear" w:color="auto" w:fill="auto"/>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shd w:val="clear" w:color="auto" w:fill="auto"/>
                <w:vertAlign w:val="baseline"/>
                <w:lang w:val="en-US" w:eastAsia="zh-CN"/>
                <w14:textFill>
                  <w14:solidFill>
                    <w14:schemeClr w14:val="tx1"/>
                  </w14:solidFill>
                </w14:textFill>
              </w:rPr>
              <w:t>3</w:t>
            </w:r>
          </w:p>
        </w:tc>
        <w:tc>
          <w:tcPr>
            <w:tcW w:w="139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t>30%或以上</w:t>
            </w:r>
          </w:p>
        </w:tc>
        <w:tc>
          <w:tcPr>
            <w:tcW w:w="127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2023年12月底前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2"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市水务局</w:t>
            </w:r>
          </w:p>
        </w:tc>
        <w:tc>
          <w:tcPr>
            <w:tcW w:w="1088"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t>建管股</w:t>
            </w:r>
          </w:p>
        </w:tc>
        <w:tc>
          <w:tcPr>
            <w:tcW w:w="130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基建程序、招标、监理、质量和资金管理监督检查</w:t>
            </w:r>
          </w:p>
        </w:tc>
        <w:tc>
          <w:tcPr>
            <w:tcW w:w="381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对水利工程建设基建程序、招标投标、建设监理、工程质量和资金管理的监督检查。</w:t>
            </w:r>
          </w:p>
        </w:tc>
        <w:tc>
          <w:tcPr>
            <w:tcW w:w="82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定向</w:t>
            </w:r>
          </w:p>
        </w:tc>
        <w:tc>
          <w:tcPr>
            <w:tcW w:w="159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市属在建水利工程实施单位(包括项目法人、设计、监理、施工、招标代理、检测、生产供货等单位)及造价工程师、注册土木工程师、监理工程师等执业资格人员</w:t>
            </w:r>
          </w:p>
        </w:tc>
        <w:tc>
          <w:tcPr>
            <w:tcW w:w="138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highlight w:val="none"/>
                <w:shd w:val="clear" w:color="auto" w:fill="auto"/>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shd w:val="clear" w:color="auto" w:fill="auto"/>
                <w:vertAlign w:val="baseline"/>
                <w:lang w:val="en-US" w:eastAsia="zh-CN"/>
                <w14:textFill>
                  <w14:solidFill>
                    <w14:schemeClr w14:val="tx1"/>
                  </w14:solidFill>
                </w14:textFill>
              </w:rPr>
              <w:t>根据今年许可并开工及历年许可而今年开工的项目数量而定</w:t>
            </w:r>
          </w:p>
        </w:tc>
        <w:tc>
          <w:tcPr>
            <w:tcW w:w="139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t>20%或以上</w:t>
            </w:r>
          </w:p>
        </w:tc>
        <w:tc>
          <w:tcPr>
            <w:tcW w:w="127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2023年12月底前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5"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市水务局</w:t>
            </w:r>
          </w:p>
        </w:tc>
        <w:tc>
          <w:tcPr>
            <w:tcW w:w="1088"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t>水土保持和水库移民工作股</w:t>
            </w:r>
          </w:p>
        </w:tc>
        <w:tc>
          <w:tcPr>
            <w:tcW w:w="130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水土保持方案实施检查</w:t>
            </w:r>
          </w:p>
        </w:tc>
        <w:tc>
          <w:tcPr>
            <w:tcW w:w="381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对生产建设项目水土保持方案实施情况的行政检查。</w:t>
            </w:r>
          </w:p>
        </w:tc>
        <w:tc>
          <w:tcPr>
            <w:tcW w:w="82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定向</w:t>
            </w:r>
          </w:p>
        </w:tc>
        <w:tc>
          <w:tcPr>
            <w:tcW w:w="159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生产建设单位/个人</w:t>
            </w:r>
          </w:p>
        </w:tc>
        <w:tc>
          <w:tcPr>
            <w:tcW w:w="138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highlight w:val="none"/>
                <w:shd w:val="clear" w:color="auto" w:fill="auto"/>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shd w:val="clear" w:color="auto" w:fill="auto"/>
                <w:vertAlign w:val="baseline"/>
                <w:lang w:val="en-US" w:eastAsia="zh-CN"/>
                <w14:textFill>
                  <w14:solidFill>
                    <w14:schemeClr w14:val="tx1"/>
                  </w14:solidFill>
                </w14:textFill>
              </w:rPr>
              <w:t>根据今年许可并开工及历年许可而今年开工的项目数量而定</w:t>
            </w:r>
          </w:p>
        </w:tc>
        <w:tc>
          <w:tcPr>
            <w:tcW w:w="139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t>20%或以上</w:t>
            </w:r>
          </w:p>
        </w:tc>
        <w:tc>
          <w:tcPr>
            <w:tcW w:w="127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2023年12月底前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市水务局</w:t>
            </w:r>
          </w:p>
        </w:tc>
        <w:tc>
          <w:tcPr>
            <w:tcW w:w="1088"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t>水土保持和水库移民工作股</w:t>
            </w:r>
          </w:p>
        </w:tc>
        <w:tc>
          <w:tcPr>
            <w:tcW w:w="130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水土保持设施自主验收核查</w:t>
            </w:r>
          </w:p>
        </w:tc>
        <w:tc>
          <w:tcPr>
            <w:tcW w:w="381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对生产建设项目水土保持设施自主验收的核查。</w:t>
            </w:r>
          </w:p>
        </w:tc>
        <w:tc>
          <w:tcPr>
            <w:tcW w:w="82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定向</w:t>
            </w:r>
          </w:p>
        </w:tc>
        <w:tc>
          <w:tcPr>
            <w:tcW w:w="159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已完成水土保持设施验收并向云浮市水务局报备验收材料的生产建设单位/个人</w:t>
            </w:r>
          </w:p>
        </w:tc>
        <w:tc>
          <w:tcPr>
            <w:tcW w:w="138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highlight w:val="none"/>
                <w:shd w:val="clear" w:color="auto" w:fill="auto"/>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shd w:val="clear" w:color="auto" w:fill="auto"/>
                <w:vertAlign w:val="baseline"/>
                <w:lang w:val="en-US" w:eastAsia="zh-CN"/>
                <w14:textFill>
                  <w14:solidFill>
                    <w14:schemeClr w14:val="tx1"/>
                  </w14:solidFill>
                </w14:textFill>
              </w:rPr>
              <w:t>根据今年向我局报备已验收的项目数量而定</w:t>
            </w:r>
          </w:p>
        </w:tc>
        <w:tc>
          <w:tcPr>
            <w:tcW w:w="139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t>20%或以上</w:t>
            </w:r>
          </w:p>
        </w:tc>
        <w:tc>
          <w:tcPr>
            <w:tcW w:w="127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2023年12月底前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市水务局</w:t>
            </w:r>
          </w:p>
        </w:tc>
        <w:tc>
          <w:tcPr>
            <w:tcW w:w="1088"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t>建管股</w:t>
            </w:r>
          </w:p>
          <w:p>
            <w:pPr>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t>河湖股</w:t>
            </w:r>
          </w:p>
          <w:p>
            <w:pPr>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t>农水股</w:t>
            </w:r>
          </w:p>
        </w:tc>
        <w:tc>
          <w:tcPr>
            <w:tcW w:w="130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批复水利基建项目初步设计文件检查</w:t>
            </w:r>
          </w:p>
        </w:tc>
        <w:tc>
          <w:tcPr>
            <w:tcW w:w="381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对已批复水利基建项目初步设计文件的行政检查。</w:t>
            </w:r>
          </w:p>
        </w:tc>
        <w:tc>
          <w:tcPr>
            <w:tcW w:w="82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定向</w:t>
            </w:r>
          </w:p>
        </w:tc>
        <w:tc>
          <w:tcPr>
            <w:tcW w:w="159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工程建设单位/个人</w:t>
            </w:r>
          </w:p>
        </w:tc>
        <w:tc>
          <w:tcPr>
            <w:tcW w:w="138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highlight w:val="none"/>
                <w:shd w:val="clear" w:color="auto" w:fill="auto"/>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shd w:val="clear" w:color="auto" w:fill="auto"/>
                <w:vertAlign w:val="baseline"/>
                <w:lang w:val="en-US" w:eastAsia="zh-CN"/>
                <w14:textFill>
                  <w14:solidFill>
                    <w14:schemeClr w14:val="tx1"/>
                  </w14:solidFill>
                </w14:textFill>
              </w:rPr>
              <w:t>根据今年许可并开工及历年许可而今年开工的项目数量而定</w:t>
            </w:r>
          </w:p>
        </w:tc>
        <w:tc>
          <w:tcPr>
            <w:tcW w:w="139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t>20%或以上</w:t>
            </w:r>
          </w:p>
        </w:tc>
        <w:tc>
          <w:tcPr>
            <w:tcW w:w="127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2023年12月底前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市水务局</w:t>
            </w:r>
          </w:p>
        </w:tc>
        <w:tc>
          <w:tcPr>
            <w:tcW w:w="1088"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t>政法股</w:t>
            </w:r>
          </w:p>
          <w:p>
            <w:pPr>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t>建管股</w:t>
            </w:r>
          </w:p>
        </w:tc>
        <w:tc>
          <w:tcPr>
            <w:tcW w:w="130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水利工程质量检查</w:t>
            </w:r>
          </w:p>
        </w:tc>
        <w:tc>
          <w:tcPr>
            <w:tcW w:w="381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对市属在建水利工程质量的行政检查。</w:t>
            </w:r>
          </w:p>
        </w:tc>
        <w:tc>
          <w:tcPr>
            <w:tcW w:w="82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定向</w:t>
            </w:r>
          </w:p>
        </w:tc>
        <w:tc>
          <w:tcPr>
            <w:tcW w:w="159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在建水利工程各参建单位</w:t>
            </w:r>
          </w:p>
        </w:tc>
        <w:tc>
          <w:tcPr>
            <w:tcW w:w="138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highlight w:val="none"/>
                <w:shd w:val="clear" w:color="auto" w:fill="auto"/>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根据市属在建水利工程监督项目数量而定</w:t>
            </w:r>
          </w:p>
        </w:tc>
        <w:tc>
          <w:tcPr>
            <w:tcW w:w="139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t>50%或以上</w:t>
            </w:r>
          </w:p>
        </w:tc>
        <w:tc>
          <w:tcPr>
            <w:tcW w:w="127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2023年12月底前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市水务局</w:t>
            </w:r>
          </w:p>
        </w:tc>
        <w:tc>
          <w:tcPr>
            <w:tcW w:w="1088"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t>政法股、负有安全监管责任的相关业务股室</w:t>
            </w:r>
          </w:p>
        </w:tc>
        <w:tc>
          <w:tcPr>
            <w:tcW w:w="130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水利工程安全生产检查</w:t>
            </w:r>
          </w:p>
        </w:tc>
        <w:tc>
          <w:tcPr>
            <w:tcW w:w="381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对水利工程建设安全生产的行政检查。</w:t>
            </w:r>
          </w:p>
        </w:tc>
        <w:tc>
          <w:tcPr>
            <w:tcW w:w="82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定向</w:t>
            </w:r>
          </w:p>
        </w:tc>
        <w:tc>
          <w:tcPr>
            <w:tcW w:w="159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在建水利工程各参建单位</w:t>
            </w:r>
          </w:p>
        </w:tc>
        <w:tc>
          <w:tcPr>
            <w:tcW w:w="138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highlight w:val="none"/>
                <w:shd w:val="clear" w:color="auto" w:fill="auto"/>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shd w:val="clear" w:color="auto" w:fill="auto"/>
                <w:vertAlign w:val="baseline"/>
                <w:lang w:val="en-US" w:eastAsia="zh-CN"/>
                <w14:textFill>
                  <w14:solidFill>
                    <w14:schemeClr w14:val="tx1"/>
                  </w14:solidFill>
                </w14:textFill>
              </w:rPr>
              <w:t>15</w:t>
            </w:r>
          </w:p>
        </w:tc>
        <w:tc>
          <w:tcPr>
            <w:tcW w:w="139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t>20%或以上</w:t>
            </w:r>
          </w:p>
        </w:tc>
        <w:tc>
          <w:tcPr>
            <w:tcW w:w="127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2023年12月底前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市水务局</w:t>
            </w:r>
          </w:p>
        </w:tc>
        <w:tc>
          <w:tcPr>
            <w:tcW w:w="1088"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t>农水股</w:t>
            </w:r>
          </w:p>
        </w:tc>
        <w:tc>
          <w:tcPr>
            <w:tcW w:w="130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小水电站安生生产检查</w:t>
            </w:r>
          </w:p>
        </w:tc>
        <w:tc>
          <w:tcPr>
            <w:tcW w:w="381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对小水电站运行管理安全生产情况的检查。</w:t>
            </w:r>
          </w:p>
        </w:tc>
        <w:tc>
          <w:tcPr>
            <w:tcW w:w="82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定向</w:t>
            </w:r>
          </w:p>
        </w:tc>
        <w:tc>
          <w:tcPr>
            <w:tcW w:w="159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小水电站</w:t>
            </w:r>
          </w:p>
        </w:tc>
        <w:tc>
          <w:tcPr>
            <w:tcW w:w="138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highlight w:val="none"/>
                <w:shd w:val="clear" w:color="auto" w:fill="auto"/>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shd w:val="clear" w:color="auto" w:fill="auto"/>
                <w:vertAlign w:val="baseline"/>
                <w:lang w:val="en-US" w:eastAsia="zh-CN"/>
                <w14:textFill>
                  <w14:solidFill>
                    <w14:schemeClr w14:val="tx1"/>
                  </w14:solidFill>
                </w14:textFill>
              </w:rPr>
              <w:t>8</w:t>
            </w:r>
          </w:p>
        </w:tc>
        <w:tc>
          <w:tcPr>
            <w:tcW w:w="139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t>50%或以上</w:t>
            </w:r>
          </w:p>
        </w:tc>
        <w:tc>
          <w:tcPr>
            <w:tcW w:w="127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2023年12月底前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市水务局</w:t>
            </w:r>
          </w:p>
        </w:tc>
        <w:tc>
          <w:tcPr>
            <w:tcW w:w="1088"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t>防御股</w:t>
            </w:r>
          </w:p>
        </w:tc>
        <w:tc>
          <w:tcPr>
            <w:tcW w:w="130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供水用水单位节约用水检查</w:t>
            </w:r>
          </w:p>
        </w:tc>
        <w:tc>
          <w:tcPr>
            <w:tcW w:w="381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对供水用水单位节约用水情况的监督检查</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w:t>
            </w:r>
          </w:p>
        </w:tc>
        <w:tc>
          <w:tcPr>
            <w:tcW w:w="82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定向</w:t>
            </w:r>
          </w:p>
        </w:tc>
        <w:tc>
          <w:tcPr>
            <w:tcW w:w="159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水行政主管部门管辖的供水用水单位</w:t>
            </w:r>
          </w:p>
        </w:tc>
        <w:tc>
          <w:tcPr>
            <w:tcW w:w="138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highlight w:val="none"/>
                <w:shd w:val="clear" w:color="auto" w:fill="auto"/>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shd w:val="clear" w:color="auto" w:fill="auto"/>
                <w:vertAlign w:val="baseline"/>
                <w:lang w:val="en-US" w:eastAsia="zh-CN"/>
                <w14:textFill>
                  <w14:solidFill>
                    <w14:schemeClr w14:val="tx1"/>
                  </w14:solidFill>
                </w14:textFill>
              </w:rPr>
              <w:t>3</w:t>
            </w:r>
          </w:p>
        </w:tc>
        <w:tc>
          <w:tcPr>
            <w:tcW w:w="139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t>30%或以上</w:t>
            </w:r>
          </w:p>
        </w:tc>
        <w:tc>
          <w:tcPr>
            <w:tcW w:w="127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2023年12月底前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市水务局</w:t>
            </w:r>
          </w:p>
        </w:tc>
        <w:tc>
          <w:tcPr>
            <w:tcW w:w="1088"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河湖股</w:t>
            </w:r>
          </w:p>
        </w:tc>
        <w:tc>
          <w:tcPr>
            <w:tcW w:w="130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河道采砂标段检查</w:t>
            </w:r>
          </w:p>
        </w:tc>
        <w:tc>
          <w:tcPr>
            <w:tcW w:w="381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对许可的河道采砂标段进行监督检查。</w:t>
            </w:r>
          </w:p>
        </w:tc>
        <w:tc>
          <w:tcPr>
            <w:tcW w:w="82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定向</w:t>
            </w:r>
          </w:p>
        </w:tc>
        <w:tc>
          <w:tcPr>
            <w:tcW w:w="159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被许可的单位</w:t>
            </w: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/个人</w:t>
            </w:r>
          </w:p>
        </w:tc>
        <w:tc>
          <w:tcPr>
            <w:tcW w:w="138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highlight w:val="none"/>
                <w:shd w:val="clear" w:color="auto" w:fill="auto"/>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shd w:val="clear" w:color="auto" w:fill="auto"/>
                <w:vertAlign w:val="baseline"/>
                <w:lang w:val="en-US" w:eastAsia="zh-CN"/>
                <w14:textFill>
                  <w14:solidFill>
                    <w14:schemeClr w14:val="tx1"/>
                  </w14:solidFill>
                </w14:textFill>
              </w:rPr>
              <w:t>1</w:t>
            </w:r>
          </w:p>
        </w:tc>
        <w:tc>
          <w:tcPr>
            <w:tcW w:w="139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t>100%</w:t>
            </w:r>
          </w:p>
        </w:tc>
        <w:tc>
          <w:tcPr>
            <w:tcW w:w="127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开采时间段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4"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市水务局</w:t>
            </w:r>
          </w:p>
        </w:tc>
        <w:tc>
          <w:tcPr>
            <w:tcW w:w="1088"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河湖股</w:t>
            </w:r>
          </w:p>
        </w:tc>
        <w:tc>
          <w:tcPr>
            <w:tcW w:w="130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河道管理范围内检查</w:t>
            </w:r>
          </w:p>
        </w:tc>
        <w:tc>
          <w:tcPr>
            <w:tcW w:w="381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对已批复的河道管理范围内有关活动（含临时占用）的监督检查。</w:t>
            </w:r>
          </w:p>
        </w:tc>
        <w:tc>
          <w:tcPr>
            <w:tcW w:w="82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定向</w:t>
            </w:r>
          </w:p>
        </w:tc>
        <w:tc>
          <w:tcPr>
            <w:tcW w:w="159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工程建设单位/个人</w:t>
            </w:r>
          </w:p>
        </w:tc>
        <w:tc>
          <w:tcPr>
            <w:tcW w:w="1380"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highlight w:val="none"/>
                <w:shd w:val="clear" w:color="auto" w:fill="auto"/>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shd w:val="clear" w:color="auto" w:fill="auto"/>
                <w:vertAlign w:val="baseline"/>
                <w:lang w:val="en-US" w:eastAsia="zh-CN"/>
                <w14:textFill>
                  <w14:solidFill>
                    <w14:schemeClr w14:val="tx1"/>
                  </w14:solidFill>
                </w14:textFill>
              </w:rPr>
              <w:t>2</w:t>
            </w:r>
          </w:p>
        </w:tc>
        <w:tc>
          <w:tcPr>
            <w:tcW w:w="139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t>50%或以上</w:t>
            </w:r>
          </w:p>
        </w:tc>
        <w:tc>
          <w:tcPr>
            <w:tcW w:w="1275" w:type="dxa"/>
            <w:noWrap w:val="0"/>
            <w:vAlign w:val="center"/>
          </w:tcPr>
          <w:p>
            <w:pPr>
              <w:keepNext w:val="0"/>
              <w:keepLines w:val="0"/>
              <w:pageBreakBefore w:val="0"/>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vertAlign w:val="baseli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2023年12月底前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市商务局</w:t>
            </w:r>
          </w:p>
        </w:tc>
        <w:tc>
          <w:tcPr>
            <w:tcW w:w="1088" w:type="dxa"/>
            <w:vMerge w:val="restart"/>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市场规划管理股</w:t>
            </w: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服务贸易与管理股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全市新车销售市场经营主体</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新车销售市场监管</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全市在册活跃企业（限额以上）</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27</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2023年4月至1</w:t>
            </w:r>
            <w:r>
              <w:rPr>
                <w:rFonts w:hint="eastAsia" w:asciiTheme="minorEastAsia" w:hAnsiTheme="minorEastAsia" w:eastAsiaTheme="minorEastAsia" w:cstheme="minorEastAsia"/>
                <w:color w:val="000000" w:themeColor="text1"/>
                <w:kern w:val="0"/>
                <w:sz w:val="21"/>
                <w:szCs w:val="21"/>
                <w:lang w:val="en"/>
                <w14:textFill>
                  <w14:solidFill>
                    <w14:schemeClr w14:val="tx1"/>
                  </w14:solidFill>
                </w14:textFill>
              </w:rPr>
              <w:t>2</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市商务局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单用途商业预付卡发卡企业</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单用途商业预付卡业务检查</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全市在册活跃企业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2</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50%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2023年4月至1</w:t>
            </w:r>
            <w:r>
              <w:rPr>
                <w:rFonts w:hint="eastAsia" w:asciiTheme="minorEastAsia" w:hAnsiTheme="minorEastAsia" w:eastAsiaTheme="minorEastAsia" w:cstheme="minorEastAsia"/>
                <w:color w:val="000000" w:themeColor="text1"/>
                <w:kern w:val="0"/>
                <w:sz w:val="21"/>
                <w:szCs w:val="21"/>
                <w:lang w:val="en"/>
                <w14:textFill>
                  <w14:solidFill>
                    <w14:schemeClr w14:val="tx1"/>
                  </w14:solidFill>
                </w14:textFill>
              </w:rPr>
              <w:t>2</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市商务局</w:t>
            </w:r>
          </w:p>
        </w:tc>
        <w:tc>
          <w:tcPr>
            <w:tcW w:w="1088" w:type="dxa"/>
            <w:vMerge w:val="restart"/>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市场规划管理股</w:t>
            </w: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全市二手车交易市场和二手车经营主体</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二手车市场监管</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备案企业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119</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2023年4月至11月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市商务局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全市报废机动车回收拆解企业</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报废机动车回收拆解活动监管</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资质企业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100%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2023年4月至11月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市卫生健康局</w:t>
            </w:r>
          </w:p>
        </w:tc>
        <w:tc>
          <w:tcPr>
            <w:tcW w:w="1088" w:type="dxa"/>
            <w:vMerge w:val="restart"/>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罗定市卫生监督所（监督二股）</w:t>
            </w: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罗定市市本级公共场所卫生专业国家随机监督抽查工作</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游泳、住宿、沐浴、美容美发等场所取得许可证、卫生管理、顾客用品用具、水质、空气以及集中空调通风系统卫生质量情况的检查。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公共场所</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1222</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除辖区内人工游泳场所（含学校内游泳场所）、候车（机、船）室全部抽取外，其他类别按辖区4%抽取。</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w:t>
            </w: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月至11月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市卫生健康局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罗定市市本级血液安全专业国家随机监督抽查工作</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采供血机构资质情况、供血浆者管理情况、检测与采集情况、血浆储存情况、医疗废物处理情况等的检查。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采供血机构</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2</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辖区总数50%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2023年5月至11月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7"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市卫生健康局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罗定市市本级职业卫生专业国家随机监督抽查工作</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用人单位职业病防治管理组织和措施、职业卫生培训、建设项目“三同时”、职业病危害项目申报、工作场所职业卫生管理、职业病危害警示和告知、劳动者职业健康监护及职业病病人和疑似职业病病人处置情况的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用人单位（工矿企业）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296</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辖区总数3%</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2023年5月至11月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市卫生健康局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罗定市市本级放射卫生专业国家随机监督抽查工作</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放射诊疗机构取得许可、设备设施管理、工作人员管理、场所及防护措施及卫生制度等的检查。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放射诊疗机构</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37</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辖区总数10%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2023年5月至11月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市卫生健康局</w:t>
            </w:r>
          </w:p>
        </w:tc>
        <w:tc>
          <w:tcPr>
            <w:tcW w:w="1088" w:type="dxa"/>
            <w:vMerge w:val="restart"/>
            <w:noWrap w:val="0"/>
            <w:vAlign w:val="center"/>
          </w:tcPr>
          <w:p>
            <w:pPr>
              <w:pStyle w:val="7"/>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罗定市卫生监督所（监督一股）</w:t>
            </w:r>
          </w:p>
          <w:p>
            <w:pPr>
              <w:pStyle w:val="7"/>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罗定市市本级生活饮用水卫生专业国家随机监督抽查工作</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集中式供水、小型集中式供水、二次供水的卫生管理及供水水质情况的检查。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生活饮用水</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2</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辖区城市城区和县城的全部水厂</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2023年5月至11月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2"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市卫生健康局</w:t>
            </w:r>
          </w:p>
        </w:tc>
        <w:tc>
          <w:tcPr>
            <w:tcW w:w="1088" w:type="dxa"/>
            <w:vMerge w:val="continue"/>
            <w:noWrap w:val="0"/>
            <w:vAlign w:val="center"/>
          </w:tcPr>
          <w:p>
            <w:pPr>
              <w:pStyle w:val="7"/>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罗定市市本级学校卫生专业国家随机监督抽查工作</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学校教学和生活环境、传染病防控、学校饮用水、学校内游泳场所的卫生管理及教室采光照明、人均面积和水质情况的检查。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各类学校</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43</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辖区学校总数的15%</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2023年5月至11月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2"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市卫生健康局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罗定市市本级医疗卫生专业国家随机监督抽查工作</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医疗机构资质、医务人员、药品和医疗器械、医疗技术、医疗文书、质量管理</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情况的检查。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医疗机构</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85</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辖区总数5%</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2023年5月至11月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市卫生健康局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罗定市市本级消毒产品单位专业国家随机监督抽查工作</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消毒产品生产企业依法生产及产品卫生质量情况的检查。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消毒产品生产企业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11</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抽查辖区30%的第一类消毒产品生产企业。同时生产第一类和第二类消毒产品的生产企业按生产第一类消毒产品的生产企业抽取。</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2023年5月至11月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5" w:hRule="atLeast"/>
        </w:trPr>
        <w:tc>
          <w:tcPr>
            <w:tcW w:w="552" w:type="dxa"/>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市卫生健康局</w:t>
            </w:r>
          </w:p>
        </w:tc>
        <w:tc>
          <w:tcPr>
            <w:tcW w:w="1088" w:type="dxa"/>
            <w:vMerge w:val="continue"/>
            <w:noWrap w:val="0"/>
            <w:vAlign w:val="center"/>
          </w:tcPr>
          <w:p>
            <w:pPr>
              <w:pStyle w:val="7"/>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罗定市市本级传染病防治专业国家随机监督抽查工作</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医疗机构传染病防控情况的检查。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基层医疗机构</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100</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抽查辖区内2%的基层医疗机构。</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2023年5月至11月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7"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市卫生健康局</w:t>
            </w:r>
          </w:p>
        </w:tc>
        <w:tc>
          <w:tcPr>
            <w:tcW w:w="1088" w:type="dxa"/>
            <w:vMerge w:val="continue"/>
            <w:noWrap w:val="0"/>
            <w:vAlign w:val="center"/>
          </w:tcPr>
          <w:p>
            <w:pPr>
              <w:pStyle w:val="7"/>
              <w:keepNext w:val="0"/>
              <w:keepLines w:val="0"/>
              <w:pageBreakBefore w:val="0"/>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罗定市市本级餐具饮具集中消毒服务单位专业国家随机监督抽查工作</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餐具饮具集中消毒服务单位依法生产及消毒餐具饮具卫生质量情况的检查。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餐具饮具集中消毒服务单位</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3</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辖区总数</w:t>
            </w: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15%</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2023年5月至11月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市应急管理局</w:t>
            </w:r>
          </w:p>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p>
        </w:tc>
        <w:tc>
          <w:tcPr>
            <w:tcW w:w="108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矿山安全监管和地震地质灾害救援股</w:t>
            </w:r>
          </w:p>
        </w:tc>
        <w:tc>
          <w:tcPr>
            <w:tcW w:w="130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非煤矿山抽查</w:t>
            </w:r>
          </w:p>
        </w:tc>
        <w:tc>
          <w:tcPr>
            <w:tcW w:w="381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工业企业取得安全生产许可证情况的检查；安全生产有关制度设置、落实等情况的检查。</w:t>
            </w:r>
          </w:p>
        </w:tc>
        <w:tc>
          <w:tcPr>
            <w:tcW w:w="82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定向</w:t>
            </w:r>
          </w:p>
        </w:tc>
        <w:tc>
          <w:tcPr>
            <w:tcW w:w="159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非煤矿山企业（含尾矿库）</w:t>
            </w:r>
          </w:p>
        </w:tc>
        <w:tc>
          <w:tcPr>
            <w:tcW w:w="138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19</w:t>
            </w:r>
          </w:p>
        </w:tc>
        <w:tc>
          <w:tcPr>
            <w:tcW w:w="139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10%</w:t>
            </w:r>
          </w:p>
        </w:tc>
        <w:tc>
          <w:tcPr>
            <w:tcW w:w="127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2023年4月至12月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市应急管理局</w:t>
            </w:r>
          </w:p>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p>
        </w:tc>
        <w:tc>
          <w:tcPr>
            <w:tcW w:w="108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危险化学品安全监管股</w:t>
            </w:r>
          </w:p>
        </w:tc>
        <w:tc>
          <w:tcPr>
            <w:tcW w:w="130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危化企业抽查</w:t>
            </w:r>
          </w:p>
        </w:tc>
        <w:tc>
          <w:tcPr>
            <w:tcW w:w="381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工业企业取得安全生产许可证情况的检查；安全生产有关制度设置、落实等情况的检查。</w:t>
            </w:r>
          </w:p>
        </w:tc>
        <w:tc>
          <w:tcPr>
            <w:tcW w:w="82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定向</w:t>
            </w:r>
          </w:p>
        </w:tc>
        <w:tc>
          <w:tcPr>
            <w:tcW w:w="159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危险化学品生产企业</w:t>
            </w:r>
          </w:p>
        </w:tc>
        <w:tc>
          <w:tcPr>
            <w:tcW w:w="138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7</w:t>
            </w:r>
          </w:p>
        </w:tc>
        <w:tc>
          <w:tcPr>
            <w:tcW w:w="139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32%</w:t>
            </w:r>
          </w:p>
        </w:tc>
        <w:tc>
          <w:tcPr>
            <w:tcW w:w="127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2023年4月至12月</w:t>
            </w:r>
          </w:p>
          <w:p>
            <w:pPr>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0"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应急与信用股</w:t>
            </w:r>
          </w:p>
        </w:tc>
        <w:tc>
          <w:tcPr>
            <w:tcW w:w="130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住所申报制企业抽查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住所（经营场所）或驻在场所的检查。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住所申报制的企业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住所申报制的企业</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50%（根据检查对象不同风险级别设置差异化抽查比例）</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2023年4月至12月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全市企业不定向抽查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登记事项、公示信息两大抽查类别检查。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202</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1"/>
                <w:szCs w:val="21"/>
                <w14:textFill>
                  <w14:solidFill>
                    <w14:schemeClr w14:val="tx1"/>
                  </w14:solidFill>
                </w14:textFill>
              </w:rPr>
              <w:t>年年报的企业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国家企业信用信息公示系统（广东）企业数量</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2%以上（根据检查对象不同风险级别设置差异化抽查比例）</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2023年7月至11月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restart"/>
            <w:noWrap w:val="0"/>
            <w:vAlign w:val="center"/>
          </w:tcPr>
          <w:p>
            <w:pPr>
              <w:pStyle w:val="7"/>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价监竞争股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价格行为检查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执行政府定价、政府指导价情况，明码标价情况及其他价格行为的检</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中小学</w:t>
            </w:r>
          </w:p>
        </w:tc>
        <w:tc>
          <w:tcPr>
            <w:tcW w:w="138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实际情况动态</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统计</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5%</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2023年</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1"/>
                <w:szCs w:val="21"/>
                <w14:textFill>
                  <w14:solidFill>
                    <w14:schemeClr w14:val="tx1"/>
                  </w14:solidFill>
                </w14:textFill>
              </w:rPr>
              <w:t>月至</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1"/>
                <w:szCs w:val="21"/>
                <w14:textFill>
                  <w14:solidFill>
                    <w14:schemeClr w14:val="tx1"/>
                  </w14:solidFill>
                </w14:textFill>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7"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直销行为检查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直销企业重大变更、直销员报酬支付、信息报备和披露的情况以及直销经营行为的检查，有无传销和直销违法行为检查</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辖区内</w:t>
            </w:r>
            <w:r>
              <w:rPr>
                <w:rFonts w:hint="eastAsia" w:asciiTheme="minorEastAsia" w:hAnsiTheme="minorEastAsia" w:eastAsiaTheme="minorEastAsia" w:cstheme="minorEastAsia"/>
                <w:color w:val="000000" w:themeColor="text1"/>
                <w:sz w:val="21"/>
                <w:szCs w:val="21"/>
                <w14:textFill>
                  <w14:solidFill>
                    <w14:schemeClr w14:val="tx1"/>
                  </w14:solidFill>
                </w14:textFill>
              </w:rPr>
              <w:t>直销企业及其分支机构、服务网点、经销商</w:t>
            </w:r>
          </w:p>
        </w:tc>
        <w:tc>
          <w:tcPr>
            <w:tcW w:w="138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实际情况动态</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统计</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50%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2023年</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1"/>
                <w:szCs w:val="21"/>
                <w14:textFill>
                  <w14:solidFill>
                    <w14:schemeClr w14:val="tx1"/>
                  </w14:solidFill>
                </w14:textFill>
              </w:rPr>
              <w:t>月至</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1"/>
                <w:szCs w:val="21"/>
                <w14:textFill>
                  <w14:solidFill>
                    <w14:schemeClr w14:val="tx1"/>
                  </w14:solidFill>
                </w14:textFill>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8"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不正当竞争行为检查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商业混淆、虚假宣传、商业诋毁、不正当有奖销售、利用技术手段妨碍、破坏其他经营者合法提供的网络产品或服务等不正当竞争行为。</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辖区内</w:t>
            </w:r>
            <w:r>
              <w:rPr>
                <w:rFonts w:hint="eastAsia" w:asciiTheme="minorEastAsia" w:hAnsiTheme="minorEastAsia" w:eastAsiaTheme="minorEastAsia" w:cstheme="minorEastAsia"/>
                <w:color w:val="000000" w:themeColor="text1"/>
                <w:sz w:val="21"/>
                <w:szCs w:val="21"/>
                <w14:textFill>
                  <w14:solidFill>
                    <w14:schemeClr w14:val="tx1"/>
                  </w14:solidFill>
                </w14:textFill>
              </w:rPr>
              <w:t>直销企业及其分支机构、服务网点、经销商</w:t>
            </w:r>
          </w:p>
        </w:tc>
        <w:tc>
          <w:tcPr>
            <w:tcW w:w="138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实际情况动态</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统计</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50%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2023年</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1"/>
                <w:szCs w:val="21"/>
                <w14:textFill>
                  <w14:solidFill>
                    <w14:schemeClr w14:val="tx1"/>
                  </w14:solidFill>
                </w14:textFill>
              </w:rPr>
              <w:t>月至</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1"/>
                <w:szCs w:val="21"/>
                <w14:textFill>
                  <w14:solidFill>
                    <w14:schemeClr w14:val="tx1"/>
                  </w14:solidFill>
                </w14:textFill>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网络传销行为检查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是否有传销行为以及为传销提供条件行为。</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辖区内</w:t>
            </w:r>
            <w:r>
              <w:rPr>
                <w:rFonts w:hint="eastAsia" w:asciiTheme="minorEastAsia" w:hAnsiTheme="minorEastAsia" w:eastAsiaTheme="minorEastAsia" w:cstheme="minorEastAsia"/>
                <w:color w:val="000000" w:themeColor="text1"/>
                <w:sz w:val="21"/>
                <w:szCs w:val="21"/>
                <w14:textFill>
                  <w14:solidFill>
                    <w14:schemeClr w14:val="tx1"/>
                  </w14:solidFill>
                </w14:textFill>
              </w:rPr>
              <w:t>直销企业及其分支机构、服务网点、经销商</w:t>
            </w:r>
          </w:p>
        </w:tc>
        <w:tc>
          <w:tcPr>
            <w:tcW w:w="138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实际情况动态</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统计</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50%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2023年</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1"/>
                <w:szCs w:val="21"/>
                <w14:textFill>
                  <w14:solidFill>
                    <w14:schemeClr w14:val="tx1"/>
                  </w14:solidFill>
                </w14:textFill>
              </w:rPr>
              <w:t>月至</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1"/>
                <w:szCs w:val="21"/>
                <w14:textFill>
                  <w14:solidFill>
                    <w14:schemeClr w14:val="tx1"/>
                  </w14:solidFill>
                </w14:textFill>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电子商务经营行为监督检查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电子商务平台经营者履行主体责任的检查</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辖区内</w:t>
            </w:r>
            <w:r>
              <w:rPr>
                <w:rFonts w:hint="eastAsia" w:asciiTheme="minorEastAsia" w:hAnsiTheme="minorEastAsia" w:eastAsiaTheme="minorEastAsia" w:cstheme="minorEastAsia"/>
                <w:color w:val="000000" w:themeColor="text1"/>
                <w:sz w:val="21"/>
                <w:szCs w:val="21"/>
                <w14:textFill>
                  <w14:solidFill>
                    <w14:schemeClr w14:val="tx1"/>
                  </w14:solidFill>
                </w14:textFill>
              </w:rPr>
              <w:t>直销企业及其分支机构、服务网点、经销商</w:t>
            </w:r>
          </w:p>
        </w:tc>
        <w:tc>
          <w:tcPr>
            <w:tcW w:w="138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实际情况动态</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统计</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50%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2023年</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1"/>
                <w:szCs w:val="21"/>
                <w14:textFill>
                  <w14:solidFill>
                    <w14:schemeClr w14:val="tx1"/>
                  </w14:solidFill>
                </w14:textFill>
              </w:rPr>
              <w:t>月至</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1"/>
                <w:szCs w:val="21"/>
                <w14:textFill>
                  <w14:solidFill>
                    <w14:schemeClr w14:val="tx1"/>
                  </w14:solidFill>
                </w14:textFill>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restart"/>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网广科</w:t>
            </w:r>
          </w:p>
          <w:p>
            <w:pPr>
              <w:pStyle w:val="7"/>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拍卖等重要领域市场规范管理检查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拍卖活动经营资格的检查</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文物经营活动经营资格的检查</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为非法交易野生动物等违法行为提供交易服务的检查</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不定向</w:t>
            </w: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拍卖等重要领域市场主体</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动态统计</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30%</w:t>
            </w: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2023年7月至11月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8"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广告行为检查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药品、医疗器械、保健食品、特殊医学用途配方食品广告主发布相关广告的审查批准情况的检查</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广告经营者、广告发布者建立、健全广告业务的承接登记、审核、档案管理制度情况的检查</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企业、个体工商户及其它</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广告</w:t>
            </w:r>
            <w:r>
              <w:rPr>
                <w:rFonts w:hint="eastAsia" w:asciiTheme="minorEastAsia" w:hAnsiTheme="minorEastAsia" w:eastAsiaTheme="minorEastAsia" w:cstheme="minorEastAsia"/>
                <w:color w:val="000000" w:themeColor="text1"/>
                <w:sz w:val="21"/>
                <w:szCs w:val="21"/>
                <w14:textFill>
                  <w14:solidFill>
                    <w14:schemeClr w14:val="tx1"/>
                  </w14:solidFill>
                </w14:textFill>
              </w:rPr>
              <w:t>经营单位</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动态统计</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3%</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2023年7月至11月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restart"/>
            <w:noWrap w:val="0"/>
            <w:vAlign w:val="center"/>
          </w:tcPr>
          <w:p>
            <w:pPr>
              <w:pStyle w:val="7"/>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知识产权保护股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专利真实性监督检查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专利证书、产品专利宣传真实性的检查。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各类市场主体</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126</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10％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2023年5月至10月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p>
        </w:tc>
        <w:tc>
          <w:tcPr>
            <w:tcW w:w="1305" w:type="dxa"/>
            <w:vMerge w:val="restart"/>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商标使用行为的检查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商标使用行为的检查（含集体商标、证明商标以及地理标志）。</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各类市场主体</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215</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10％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2023年5月至10月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p>
        </w:tc>
        <w:tc>
          <w:tcPr>
            <w:tcW w:w="1305"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商标印制行为的检查。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各类市场主体</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95</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10％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2023年5月至10月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商标代理行为的检查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专用标志合法使用人是否合法合规使用专用标志；专用标志标识是否符合有关规定。</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商标代理机构</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8</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50％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2023年5月至10月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地理标志专用标志合法使用人定向抽查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专用标志使用是否符合《广东省地理标志条例》（广东省第十三届人民代表大会常务委员会公告（第123号）、《地理标志专用标志使用管理办法（试行）》（国家知识产权局公告第三五四号）规定。</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地理标志专用标志合法使用人</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30家</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30％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2023年5月至10月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0"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重点专业市场知识产权保护状况</w:t>
            </w:r>
          </w:p>
        </w:tc>
        <w:tc>
          <w:tcPr>
            <w:tcW w:w="3810" w:type="dxa"/>
            <w:noWrap w:val="0"/>
            <w:vAlign w:val="center"/>
          </w:tcPr>
          <w:p>
            <w:pPr>
              <w:pStyle w:val="6"/>
              <w:keepNext w:val="0"/>
              <w:keepLines w:val="0"/>
              <w:pageBreakBefore w:val="0"/>
              <w:widowControl/>
              <w:numPr>
                <w:ilvl w:val="0"/>
                <w:numId w:val="0"/>
              </w:numPr>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1.重点专业市场知识产权保护机制建立情况；</w:t>
            </w:r>
          </w:p>
          <w:p>
            <w:pPr>
              <w:pStyle w:val="6"/>
              <w:keepNext w:val="0"/>
              <w:keepLines w:val="0"/>
              <w:pageBreakBefore w:val="0"/>
              <w:widowControl/>
              <w:numPr>
                <w:ilvl w:val="0"/>
                <w:numId w:val="0"/>
              </w:numPr>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2.重点专业市场知识产权保护机制运行情况；</w:t>
            </w:r>
          </w:p>
          <w:p>
            <w:pPr>
              <w:pStyle w:val="6"/>
              <w:keepNext w:val="0"/>
              <w:keepLines w:val="0"/>
              <w:pageBreakBefore w:val="0"/>
              <w:widowControl/>
              <w:numPr>
                <w:ilvl w:val="0"/>
                <w:numId w:val="0"/>
              </w:numPr>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3.重点专业市场内经营者是否存在知识产权侵权违法行为。</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重点专业市场</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5</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100％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2023年5月至10月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5"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专利侵权纠纷行政裁决履行情况</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专利侵权纠纷行政裁决被请求人是否履行生效专利侵权纠纷行政裁决书义务。</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辖区内被行政部门责令停止侵权的专利侵权纠纷行政裁决案件被请求人</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100％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2023年5月至10月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restart"/>
            <w:noWrap w:val="0"/>
            <w:vAlign w:val="center"/>
          </w:tcPr>
          <w:p>
            <w:pPr>
              <w:pStyle w:val="7"/>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 w:eastAsia="zh-CN"/>
                <w14:textFill>
                  <w14:solidFill>
                    <w14:schemeClr w14:val="tx1"/>
                  </w14:solidFill>
                </w14:textFill>
              </w:rPr>
              <w:t>产品质量与认证股</w:t>
            </w:r>
          </w:p>
          <w:p>
            <w:pPr>
              <w:pStyle w:val="7"/>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生产许可获证企业证后随机抽查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对我市工业产品生产许可获证企业开展生产许可资格检查以及条件检查。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工业产品生产许可获证企业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约3家</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30%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至2023年12月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强制性产品认证活动监督检查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强制性产品认证获证组织履行主体责任的检查。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强制性产品认证获证组织</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约8家</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约30%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至</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0"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检验检测机构资质认定监督抽查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检验检测机构监督抽查。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全市获得省市场监管局颁发资质认定的检验检测机构</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约</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24家</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约25%</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至2023年12月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0"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自愿性认证从业机构监督检查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认证活动、认证结果监督检查。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全市获证组织（由市场监管总局委托、指定任务明确检查对象）</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约</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175家</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t>约5%</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至2023年1</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2"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restart"/>
            <w:noWrap w:val="0"/>
            <w:vAlign w:val="center"/>
          </w:tcPr>
          <w:p>
            <w:pPr>
              <w:pStyle w:val="7"/>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食品生产股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食品生产企业监督检查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生产主体资格、生产环境条件、进货查验、生产过程控制、产品检验、贮存及交付控制、产品标准执行情况、不合格品管理和食品召回、从业人员管理、食品安全事故处置等事项。</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全市食品添加剂、食用植物油、湿粉类等重点品种食品生产企业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食品生产企业数量</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5%</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2023年11月底前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0"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食品相关产品监督抽查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食品相关产品质量安全监督抽查。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全市食品用塑料包装、容器、工具等制品</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食品生产企业数量</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5%</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2023年11月底前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8"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restart"/>
            <w:noWrap w:val="0"/>
            <w:vAlign w:val="center"/>
          </w:tcPr>
          <w:p>
            <w:pPr>
              <w:pStyle w:val="7"/>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食品销售股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全市食品销售监督检查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食品销售者主体资质、进货查验、销售过程控制等《食品安全法》规定应当履行的义务。</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全市食品销</w:t>
            </w: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售者</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根据实际情况更新</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根据实际情况</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确定</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2023年11月之前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全市食用农产品集中交易市场销售监督检查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《食品安全法》《食用农产品市场销售质量安全监督管理办法》等规定的义务。</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全市</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食用农产品批发市场和农贸（零售）市场</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根据实际情况更新</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根据实际情况确定</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2023年11月之前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全市食用农产品销售者监督检查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《食品安全法》《食用农产品市场销售质量安全监督管理办法》等规定的义务。</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全市</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食用农产品销售者</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根据实际情况更新</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根据实际情况确定</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2023年11月之前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0"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全市特殊食品销售者定向抽查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特殊食品销售者经营资质、产品合法性、进货查验、销售过程控制、食品安全管理人员等。</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全市婴幼儿配方食品销售者、特殊医学用途配方食品销售者、保健食品销售者</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根据实际情况更新</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根据实际情况确定</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2023年11月之前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5"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全市养老机构食堂</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食品经营主体资格、食品安全制度落实情况、餐饮操作规范落实情况等。</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全市养老机构食堂</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约</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1家（按实际在营开展）</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根据《食品生产经营监督检查管理办法》《广东省市场监督管理局餐饮服务食品安全风险分级管理办法（试行）》确定</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2023年12月之前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0"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全市大型餐馆</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食品经营主体资格、食品安全制度落实情况、餐饮操作规范落实情况等。</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全市大型餐馆</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约4家（按实际在营开展）</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根据《食品生产经营监督检查管理办法》《广东省市场监督管理局餐饮服务食品安全风险分级管理办法（试行）》确定</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2023年12月之前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5"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全市入网餐饮服务提供者</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食品经营主体资格、食品安全制度落实情况、餐饮操作规范落实情况等。</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全市入网餐饮服务提供者</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约310家（按实际在营开展）</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根据《食品生产经营监督检查管理办法》《广东省市场监督管理局餐饮服务食品安全风险分级管理办法（试行）》确定</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2023年12月之前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noWrap w:val="0"/>
            <w:vAlign w:val="center"/>
          </w:tcPr>
          <w:p>
            <w:pPr>
              <w:pStyle w:val="7"/>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特种设备股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特种设备使用单位监督检查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机构及制度、设备档案、人员档案等。</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气瓶充装单位</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8</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按不低于</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20</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%的比例抽取</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2023年7月至1</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2"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restart"/>
            <w:noWrap w:val="0"/>
            <w:vAlign w:val="center"/>
          </w:tcPr>
          <w:p>
            <w:pPr>
              <w:pStyle w:val="7"/>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标准化与计量股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在用计量器具监督检查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在用计量器具监督检查。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加油站、货运源头企业使用的电子汽车衡、交通</w:t>
            </w:r>
            <w:r>
              <w:rPr>
                <w:rFonts w:hint="eastAsia" w:asciiTheme="minorEastAsia" w:hAnsiTheme="minorEastAsia" w:eastAsiaTheme="minorEastAsia" w:cstheme="minorEastAsia"/>
                <w:color w:val="000000" w:themeColor="text1"/>
                <w:sz w:val="21"/>
                <w:szCs w:val="21"/>
                <w14:textFill>
                  <w14:solidFill>
                    <w14:schemeClr w14:val="tx1"/>
                  </w14:solidFill>
                </w14:textFill>
              </w:rPr>
              <w:t>治超卸货场使用</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的电子</w:t>
            </w:r>
            <w:r>
              <w:rPr>
                <w:rFonts w:hint="eastAsia" w:asciiTheme="minorEastAsia" w:hAnsiTheme="minorEastAsia" w:eastAsiaTheme="minorEastAsia" w:cstheme="minorEastAsia"/>
                <w:color w:val="000000" w:themeColor="text1"/>
                <w:sz w:val="21"/>
                <w:szCs w:val="21"/>
                <w14:textFill>
                  <w14:solidFill>
                    <w14:schemeClr w14:val="tx1"/>
                  </w14:solidFill>
                </w14:textFill>
              </w:rPr>
              <w:t>汽车衡</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加油站58家、电子衡 48</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10%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2023年10月31日前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计量单位使用情况专项监督检查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计量单位使用情况专项监督检查。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宣传出版、文化教育、市场交易等领域</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1家</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出版物发行机构各类出版物不少于</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100份，抽查广播电视新闻广告不少于100篇。</w:t>
            </w:r>
          </w:p>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2023年6月30日前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定量包装商品净含量计量监督专项抽查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定量包装商品净含量计量监督专项抽。查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定量包装商品销售者（连锁超市）</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24家</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约10家</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2023年12月31日前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法定计量检定机构专项监督检查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法定计量检定机构专项监督检查。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全市法定计量检定单位</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1家</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100%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2023年12月31日前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能效标识计量专项监督检查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能效标识计量专项监督检查。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应实行能效标识</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 xml:space="preserve"> 管理的产品的生产、销售企业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约60家</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约10家</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2023年12月31日前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5"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t>市市场监管局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水效标识计量专项监督检查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水效标识计量专项监督检查。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应实行水效标识</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 xml:space="preserve"> 管理的产品的生产、销售企业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Cs/>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0"/>
                <w:sz w:val="21"/>
                <w:szCs w:val="21"/>
                <w:lang w:val="en-US" w:eastAsia="zh-CN"/>
                <w14:textFill>
                  <w14:solidFill>
                    <w14:schemeClr w14:val="tx1"/>
                  </w14:solidFill>
                </w14:textFill>
              </w:rPr>
              <w:t>约30家</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约10家</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2023年12月31日前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9"/>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市文广旅体局</w:t>
            </w:r>
          </w:p>
        </w:tc>
        <w:tc>
          <w:tcPr>
            <w:tcW w:w="1088" w:type="dxa"/>
            <w:noWrap w:val="0"/>
            <w:vAlign w:val="center"/>
          </w:tcPr>
          <w:p>
            <w:pPr>
              <w:pStyle w:val="9"/>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执法</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股</w:t>
            </w:r>
          </w:p>
        </w:tc>
        <w:tc>
          <w:tcPr>
            <w:tcW w:w="1305" w:type="dxa"/>
            <w:noWrap w:val="0"/>
            <w:vAlign w:val="center"/>
          </w:tcPr>
          <w:p>
            <w:pPr>
              <w:pStyle w:val="9"/>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文化和旅游经营场所双随机抽查</w:t>
            </w:r>
          </w:p>
        </w:tc>
        <w:tc>
          <w:tcPr>
            <w:tcW w:w="3810" w:type="dxa"/>
            <w:noWrap w:val="0"/>
            <w:vAlign w:val="center"/>
          </w:tcPr>
          <w:p>
            <w:pPr>
              <w:pStyle w:val="9"/>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通过全国文化市场技术监管与服务平台开展双随机抽查工作</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w:t>
            </w:r>
          </w:p>
        </w:tc>
        <w:tc>
          <w:tcPr>
            <w:tcW w:w="825" w:type="dxa"/>
            <w:noWrap w:val="0"/>
            <w:vAlign w:val="center"/>
          </w:tcPr>
          <w:p>
            <w:pPr>
              <w:pStyle w:val="9"/>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9"/>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文化和旅游经营场所</w:t>
            </w:r>
          </w:p>
        </w:tc>
        <w:tc>
          <w:tcPr>
            <w:tcW w:w="1380" w:type="dxa"/>
            <w:noWrap w:val="0"/>
            <w:vAlign w:val="center"/>
          </w:tcPr>
          <w:p>
            <w:pPr>
              <w:pStyle w:val="9"/>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68</w:t>
            </w:r>
          </w:p>
        </w:tc>
        <w:tc>
          <w:tcPr>
            <w:tcW w:w="1395" w:type="dxa"/>
            <w:noWrap w:val="0"/>
            <w:vAlign w:val="center"/>
          </w:tcPr>
          <w:p>
            <w:pPr>
              <w:pStyle w:val="9"/>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
                <w14:textFill>
                  <w14:solidFill>
                    <w14:schemeClr w14:val="tx1"/>
                  </w14:solidFill>
                </w14:textFill>
              </w:rPr>
              <w:t>100</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w:t>
            </w:r>
          </w:p>
        </w:tc>
        <w:tc>
          <w:tcPr>
            <w:tcW w:w="1275" w:type="dxa"/>
            <w:noWrap w:val="0"/>
            <w:vAlign w:val="center"/>
          </w:tcPr>
          <w:p>
            <w:pPr>
              <w:pStyle w:val="9"/>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2023年1月至12月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1"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2"/>
                <w:sz w:val="21"/>
                <w:szCs w:val="21"/>
                <w:lang w:val="en-US" w:eastAsia="zh-CN" w:bidi="ar-SA"/>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t>市统计局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t>法制股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t>2023年度统计执法检查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t>调查对象依法设置原始记录、统计台账情况检查。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t>2023年度网报四上企业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t>1097</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t>根据广东省统计局的工作安排确定</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t>2023年5月至11月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5"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国家税务总局罗定市税务局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稽查局选案组</w:t>
            </w: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罗定</w:t>
            </w:r>
            <w:r>
              <w:rPr>
                <w:rFonts w:hint="eastAsia" w:asciiTheme="minorEastAsia" w:hAnsiTheme="minorEastAsia" w:eastAsiaTheme="minorEastAsia" w:cstheme="minorEastAsia"/>
                <w:color w:val="000000" w:themeColor="text1"/>
                <w:sz w:val="21"/>
                <w:szCs w:val="21"/>
                <w14:textFill>
                  <w14:solidFill>
                    <w14:schemeClr w14:val="tx1"/>
                  </w14:solidFill>
                </w14:textFill>
              </w:rPr>
              <w:t>市税务局</w:t>
            </w:r>
            <w:r>
              <w:rPr>
                <w:rFonts w:hint="eastAsia" w:asciiTheme="minorEastAsia" w:hAnsiTheme="minorEastAsia" w:eastAsiaTheme="minorEastAsia" w:cstheme="minorEastAsia"/>
                <w:color w:val="000000" w:themeColor="text1"/>
                <w:sz w:val="21"/>
                <w:szCs w:val="21"/>
                <w:shd w:val="clear" w:color="auto" w:fill="FFFFFF"/>
                <w14:textFill>
                  <w14:solidFill>
                    <w14:schemeClr w14:val="tx1"/>
                  </w14:solidFill>
                </w14:textFill>
              </w:rPr>
              <w:t>202</w:t>
            </w:r>
            <w:r>
              <w:rPr>
                <w:rFonts w:hint="eastAsia" w:asciiTheme="minorEastAsia" w:hAnsiTheme="minorEastAsia" w:eastAsiaTheme="minorEastAsia" w:cstheme="minorEastAsia"/>
                <w:color w:val="000000" w:themeColor="text1"/>
                <w:sz w:val="21"/>
                <w:szCs w:val="21"/>
                <w:shd w:val="clear" w:color="auto" w:fill="FFFFFF"/>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1"/>
                <w:szCs w:val="21"/>
                <w:shd w:val="clear" w:color="auto" w:fill="FFFFFF"/>
                <w14:textFill>
                  <w14:solidFill>
                    <w14:schemeClr w14:val="tx1"/>
                  </w14:solidFill>
                </w14:textFill>
              </w:rPr>
              <w:t>年度双随机抽查</w:t>
            </w:r>
            <w:r>
              <w:rPr>
                <w:rFonts w:hint="eastAsia" w:asciiTheme="minorEastAsia" w:hAnsiTheme="minorEastAsia" w:eastAsiaTheme="minorEastAsia" w:cstheme="minorEastAsia"/>
                <w:color w:val="000000" w:themeColor="text1"/>
                <w:sz w:val="21"/>
                <w:szCs w:val="21"/>
                <w:shd w:val="clear" w:color="auto" w:fill="FFFFFF"/>
                <w:lang w:eastAsia="zh-CN"/>
                <w14:textFill>
                  <w14:solidFill>
                    <w14:schemeClr w14:val="tx1"/>
                  </w14:solidFill>
                </w14:textFill>
              </w:rPr>
              <w:t>工作任务</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涉嫌税收违法的纳税人、扣缴义务人和其他涉税当事人的检查</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定向和</w:t>
            </w: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2023年度</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管辖的企业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98231</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根据国家税务总局、广东省税务局的工作安排确定</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w:t>
            </w: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年1</w:t>
            </w: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月3</w:t>
            </w: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市气象局</w:t>
            </w:r>
          </w:p>
        </w:tc>
        <w:tc>
          <w:tcPr>
            <w:tcW w:w="1088" w:type="dxa"/>
            <w:vMerge w:val="restart"/>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法规股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防雷报建和验收情况的检查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对建设单位雷电防护装置设计审核和竣工验收许可情况的行政检查</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建设单位</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10%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2023年11月前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市气象局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防雷重点单位检查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对雷电灾害防御工作的行政检查。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雷电灾害防御单位</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83</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5%</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2023年3月至11月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 w:val="0"/>
                <w:bCs w:val="0"/>
                <w:color w:val="000000" w:themeColor="text1"/>
                <w:kern w:val="0"/>
                <w:sz w:val="21"/>
                <w:szCs w:val="21"/>
                <w14:textFill>
                  <w14:solidFill>
                    <w14:schemeClr w14:val="tx1"/>
                  </w14:solidFill>
                </w14:textFill>
              </w:rPr>
              <w:t>市</w:t>
            </w:r>
            <w:r>
              <w:rPr>
                <w:rFonts w:hint="eastAsia" w:asciiTheme="minorEastAsia" w:hAnsiTheme="minorEastAsia" w:eastAsiaTheme="minorEastAsia" w:cstheme="minorEastAsia"/>
                <w:b w:val="0"/>
                <w:bCs w:val="0"/>
                <w:color w:val="000000" w:themeColor="text1"/>
                <w:kern w:val="0"/>
                <w:sz w:val="21"/>
                <w:szCs w:val="21"/>
                <w:lang w:eastAsia="zh-CN"/>
                <w14:textFill>
                  <w14:solidFill>
                    <w14:schemeClr w14:val="tx1"/>
                  </w14:solidFill>
                </w14:textFill>
              </w:rPr>
              <w:t>烟草专卖局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 w:val="0"/>
                <w:bCs w:val="0"/>
                <w:color w:val="000000" w:themeColor="text1"/>
                <w:kern w:val="0"/>
                <w:sz w:val="21"/>
                <w:szCs w:val="21"/>
                <w:lang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kern w:val="0"/>
                <w:sz w:val="21"/>
                <w:szCs w:val="21"/>
                <w:lang w:eastAsia="zh-CN"/>
                <w14:textFill>
                  <w14:solidFill>
                    <w14:schemeClr w14:val="tx1"/>
                  </w14:solidFill>
                </w14:textFill>
              </w:rPr>
              <w:t>专卖监督管理办公室</w:t>
            </w: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 w:val="0"/>
                <w:bCs w:val="0"/>
                <w:color w:val="000000" w:themeColor="text1"/>
                <w:kern w:val="0"/>
                <w:sz w:val="21"/>
                <w:szCs w:val="21"/>
                <w:lang w:eastAsia="zh-CN"/>
                <w14:textFill>
                  <w14:solidFill>
                    <w14:schemeClr w14:val="tx1"/>
                  </w14:solidFill>
                </w14:textFill>
              </w:rPr>
              <w:t>卷烟零售市场秩序日常检查</w:t>
            </w:r>
          </w:p>
        </w:tc>
        <w:tc>
          <w:tcPr>
            <w:tcW w:w="3810" w:type="dxa"/>
            <w:noWrap w:val="0"/>
            <w:vAlign w:val="center"/>
          </w:tcPr>
          <w:p>
            <w:pPr>
              <w:pStyle w:val="6"/>
              <w:keepNext w:val="0"/>
              <w:keepLines w:val="0"/>
              <w:pageBreakBefore w:val="0"/>
              <w:widowControl/>
              <w:numPr>
                <w:ilvl w:val="0"/>
                <w:numId w:val="0"/>
              </w:numPr>
              <w:tabs>
                <w:tab w:val="left" w:pos="312"/>
              </w:tabs>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b w:val="0"/>
                <w:bCs w:val="0"/>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kern w:val="0"/>
                <w:sz w:val="21"/>
                <w:szCs w:val="21"/>
                <w:lang w:val="en-US" w:eastAsia="zh-CN"/>
                <w14:textFill>
                  <w14:solidFill>
                    <w14:schemeClr w14:val="tx1"/>
                  </w14:solidFill>
                </w14:textFill>
              </w:rPr>
              <w:t>1.专卖管理法律法规规定执行情况；</w:t>
            </w:r>
          </w:p>
          <w:p>
            <w:pPr>
              <w:pStyle w:val="6"/>
              <w:keepNext w:val="0"/>
              <w:keepLines w:val="0"/>
              <w:pageBreakBefore w:val="0"/>
              <w:widowControl/>
              <w:numPr>
                <w:ilvl w:val="0"/>
                <w:numId w:val="0"/>
              </w:numPr>
              <w:tabs>
                <w:tab w:val="left" w:pos="312"/>
              </w:tabs>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 w:val="0"/>
                <w:bCs w:val="0"/>
                <w:color w:val="000000" w:themeColor="text1"/>
                <w:kern w:val="0"/>
                <w:sz w:val="21"/>
                <w:szCs w:val="21"/>
                <w:lang w:val="en-US" w:eastAsia="zh-CN"/>
                <w14:textFill>
                  <w14:solidFill>
                    <w14:schemeClr w14:val="tx1"/>
                  </w14:solidFill>
                </w14:textFill>
              </w:rPr>
              <w:t>2.规范经营情况。</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 w:val="0"/>
                <w:bCs w:val="0"/>
                <w:color w:val="000000" w:themeColor="text1"/>
                <w:kern w:val="0"/>
                <w:sz w:val="21"/>
                <w:szCs w:val="21"/>
                <w:lang w:eastAsia="zh-CN"/>
                <w14:textFill>
                  <w14:solidFill>
                    <w14:schemeClr w14:val="tx1"/>
                  </w14:solidFill>
                </w14:textFill>
              </w:rPr>
              <w:t>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 w:val="0"/>
                <w:bCs w:val="0"/>
                <w:color w:val="000000" w:themeColor="text1"/>
                <w:kern w:val="0"/>
                <w:sz w:val="21"/>
                <w:szCs w:val="21"/>
                <w:lang w:eastAsia="zh-CN"/>
                <w14:textFill>
                  <w14:solidFill>
                    <w14:schemeClr w14:val="tx1"/>
                  </w14:solidFill>
                </w14:textFill>
              </w:rPr>
              <w:t>持有烟草专卖零售许可证企业和个人</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 w:val="0"/>
                <w:bCs w:val="0"/>
                <w:color w:val="000000" w:themeColor="text1"/>
                <w:kern w:val="0"/>
                <w:sz w:val="21"/>
                <w:szCs w:val="21"/>
                <w:lang w:val="en-US" w:eastAsia="zh-CN"/>
                <w14:textFill>
                  <w14:solidFill>
                    <w14:schemeClr w14:val="tx1"/>
                  </w14:solidFill>
                </w14:textFill>
              </w:rPr>
              <w:t>11000</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 w:val="0"/>
                <w:bCs w:val="0"/>
                <w:color w:val="000000" w:themeColor="text1"/>
                <w:kern w:val="0"/>
                <w:sz w:val="21"/>
                <w:szCs w:val="21"/>
                <w:lang w:val="en-US" w:eastAsia="zh-CN"/>
                <w14:textFill>
                  <w14:solidFill>
                    <w14:schemeClr w14:val="tx1"/>
                  </w14:solidFill>
                </w14:textFill>
              </w:rPr>
              <w:t>14.98%</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b w:val="0"/>
                <w:bCs w:val="0"/>
                <w:color w:val="000000" w:themeColor="text1"/>
                <w:kern w:val="0"/>
                <w:sz w:val="21"/>
                <w:szCs w:val="21"/>
                <w:lang w:val="en-US" w:eastAsia="zh-CN"/>
                <w14:textFill>
                  <w14:solidFill>
                    <w14:schemeClr w14:val="tx1"/>
                  </w14:solidFill>
                </w14:textFill>
              </w:rPr>
              <w:t>2023年12月31日止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市自然资源（林业）局</w:t>
            </w:r>
          </w:p>
        </w:tc>
        <w:tc>
          <w:tcPr>
            <w:tcW w:w="1088" w:type="dxa"/>
            <w:vMerge w:val="restart"/>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生态保护修复股</w:t>
            </w: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p>
        </w:tc>
        <w:tc>
          <w:tcPr>
            <w:tcW w:w="130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bidi="ar"/>
                <w14:textFill>
                  <w14:solidFill>
                    <w14:schemeClr w14:val="tx1"/>
                  </w14:solidFill>
                </w14:textFill>
              </w:rPr>
              <w:t>造林质量监管</w:t>
            </w:r>
          </w:p>
        </w:tc>
        <w:tc>
          <w:tcPr>
            <w:tcW w:w="381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bidi="ar"/>
                <w14:textFill>
                  <w14:solidFill>
                    <w14:schemeClr w14:val="tx1"/>
                  </w14:solidFill>
                </w14:textFill>
              </w:rPr>
              <w:t>造林质量监督检查。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不定向</w:t>
            </w:r>
          </w:p>
        </w:tc>
        <w:tc>
          <w:tcPr>
            <w:tcW w:w="159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bidi="ar"/>
                <w14:textFill>
                  <w14:solidFill>
                    <w14:schemeClr w14:val="tx1"/>
                  </w14:solidFill>
                </w14:textFill>
              </w:rPr>
              <w:t>各县（市、区）林业主管部门、市属国有林场</w:t>
            </w:r>
          </w:p>
        </w:tc>
        <w:tc>
          <w:tcPr>
            <w:tcW w:w="138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bidi="ar"/>
                <w14:textFill>
                  <w14:solidFill>
                    <w14:schemeClr w14:val="tx1"/>
                  </w14:solidFill>
                </w14:textFill>
              </w:rPr>
              <w:t>2</w:t>
            </w:r>
          </w:p>
        </w:tc>
        <w:tc>
          <w:tcPr>
            <w:tcW w:w="139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bidi="ar"/>
                <w14:textFill>
                  <w14:solidFill>
                    <w14:schemeClr w14:val="tx1"/>
                  </w14:solidFill>
                </w14:textFill>
              </w:rPr>
              <w:t>100%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2023年1月至12月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市自然资源（林业）局</w:t>
            </w:r>
          </w:p>
        </w:tc>
        <w:tc>
          <w:tcPr>
            <w:tcW w:w="1088"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p>
        </w:tc>
        <w:tc>
          <w:tcPr>
            <w:tcW w:w="130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bidi="ar"/>
                <w14:textFill>
                  <w14:solidFill>
                    <w14:schemeClr w14:val="tx1"/>
                  </w14:solidFill>
                </w14:textFill>
              </w:rPr>
              <w:t>林业有害生物防治检疫监管</w:t>
            </w:r>
          </w:p>
        </w:tc>
        <w:tc>
          <w:tcPr>
            <w:tcW w:w="381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bidi="ar"/>
                <w14:textFill>
                  <w14:solidFill>
                    <w14:schemeClr w14:val="tx1"/>
                  </w14:solidFill>
                </w14:textFill>
              </w:rPr>
              <w:t>林业有害生物防治检查；对调运应施检疫森林植物及产品企业和个人抽查。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不定向</w:t>
            </w:r>
          </w:p>
        </w:tc>
        <w:tc>
          <w:tcPr>
            <w:tcW w:w="159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bidi="ar"/>
                <w14:textFill>
                  <w14:solidFill>
                    <w14:schemeClr w14:val="tx1"/>
                  </w14:solidFill>
                </w14:textFill>
              </w:rPr>
              <w:t>全市涉木涉苗企业和个人</w:t>
            </w:r>
          </w:p>
        </w:tc>
        <w:tc>
          <w:tcPr>
            <w:tcW w:w="138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bidi="ar"/>
                <w14:textFill>
                  <w14:solidFill>
                    <w14:schemeClr w14:val="tx1"/>
                  </w14:solidFill>
                </w14:textFill>
              </w:rPr>
              <w:t>3</w:t>
            </w:r>
          </w:p>
        </w:tc>
        <w:tc>
          <w:tcPr>
            <w:tcW w:w="139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bidi="ar"/>
                <w14:textFill>
                  <w14:solidFill>
                    <w14:schemeClr w14:val="tx1"/>
                  </w14:solidFill>
                </w14:textFill>
              </w:rPr>
              <w:t>100%</w:t>
            </w:r>
          </w:p>
        </w:tc>
        <w:tc>
          <w:tcPr>
            <w:tcW w:w="127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2023年1月至12月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5"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市自然资源（林业）局</w:t>
            </w:r>
          </w:p>
        </w:tc>
        <w:tc>
          <w:tcPr>
            <w:tcW w:w="1088"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p>
        </w:tc>
        <w:tc>
          <w:tcPr>
            <w:tcW w:w="130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bidi="ar"/>
                <w14:textFill>
                  <w14:solidFill>
                    <w14:schemeClr w14:val="tx1"/>
                  </w14:solidFill>
                </w14:textFill>
              </w:rPr>
              <w:t>林业植物检疫监管</w:t>
            </w:r>
          </w:p>
        </w:tc>
        <w:tc>
          <w:tcPr>
            <w:tcW w:w="381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bidi="ar"/>
                <w14:textFill>
                  <w14:solidFill>
                    <w14:schemeClr w14:val="tx1"/>
                  </w14:solidFill>
                </w14:textFill>
              </w:rPr>
              <w:t>松材线虫病疫木安全利用检查。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不定向</w:t>
            </w:r>
          </w:p>
        </w:tc>
        <w:tc>
          <w:tcPr>
            <w:tcW w:w="159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bidi="ar"/>
                <w14:textFill>
                  <w14:solidFill>
                    <w14:schemeClr w14:val="tx1"/>
                  </w14:solidFill>
                </w14:textFill>
              </w:rPr>
              <w:t>全市松材线虫病疫木加工定点加工企业、涉木涉苗企业和个人</w:t>
            </w:r>
          </w:p>
        </w:tc>
        <w:tc>
          <w:tcPr>
            <w:tcW w:w="138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bidi="ar"/>
                <w14:textFill>
                  <w14:solidFill>
                    <w14:schemeClr w14:val="tx1"/>
                  </w14:solidFill>
                </w14:textFill>
              </w:rPr>
              <w:t>1</w:t>
            </w:r>
          </w:p>
        </w:tc>
        <w:tc>
          <w:tcPr>
            <w:tcW w:w="139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bidi="ar"/>
                <w14:textFill>
                  <w14:solidFill>
                    <w14:schemeClr w14:val="tx1"/>
                  </w14:solidFill>
                </w14:textFill>
              </w:rPr>
              <w:t>100%</w:t>
            </w:r>
          </w:p>
        </w:tc>
        <w:tc>
          <w:tcPr>
            <w:tcW w:w="127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2023年1月至12月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9"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市自然资源（林业）局</w:t>
            </w:r>
          </w:p>
        </w:tc>
        <w:tc>
          <w:tcPr>
            <w:tcW w:w="1088"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p>
        </w:tc>
        <w:tc>
          <w:tcPr>
            <w:tcW w:w="130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bidi="ar"/>
                <w14:textFill>
                  <w14:solidFill>
                    <w14:schemeClr w14:val="tx1"/>
                  </w14:solidFill>
                </w14:textFill>
              </w:rPr>
              <w:t>林木种苗和植物新品种监管</w:t>
            </w:r>
          </w:p>
        </w:tc>
        <w:tc>
          <w:tcPr>
            <w:tcW w:w="381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bidi="ar"/>
                <w14:textFill>
                  <w14:solidFill>
                    <w14:schemeClr w14:val="tx1"/>
                  </w14:solidFill>
                </w14:textFill>
              </w:rPr>
              <w:t>生产、繁殖或者销售授权植物新品种情况的检查；林木种苗质量监督抽查；林木种子生产经营许可抽查。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不定向</w:t>
            </w:r>
          </w:p>
        </w:tc>
        <w:tc>
          <w:tcPr>
            <w:tcW w:w="159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bidi="ar"/>
                <w14:textFill>
                  <w14:solidFill>
                    <w14:schemeClr w14:val="tx1"/>
                  </w14:solidFill>
                </w14:textFill>
              </w:rPr>
              <w:t>全市从事林木种苗生产经营企业</w:t>
            </w:r>
          </w:p>
        </w:tc>
        <w:tc>
          <w:tcPr>
            <w:tcW w:w="138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bidi="ar"/>
                <w14:textFill>
                  <w14:solidFill>
                    <w14:schemeClr w14:val="tx1"/>
                  </w14:solidFill>
                </w14:textFill>
              </w:rPr>
              <w:t>4</w:t>
            </w:r>
          </w:p>
        </w:tc>
        <w:tc>
          <w:tcPr>
            <w:tcW w:w="139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bidi="ar"/>
                <w14:textFill>
                  <w14:solidFill>
                    <w14:schemeClr w14:val="tx1"/>
                  </w14:solidFill>
                </w14:textFill>
              </w:rPr>
              <w:t>100%</w:t>
            </w:r>
          </w:p>
        </w:tc>
        <w:tc>
          <w:tcPr>
            <w:tcW w:w="127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2023年1月至12月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3"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市自然资源（林业）局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森林资源管理</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行政许可监督检查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建设工程征占用林地监督检查</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全市建设工程项目征占用林地申请单位（企业）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以许可审批数量为准</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w:t>
            </w:r>
          </w:p>
        </w:tc>
        <w:tc>
          <w:tcPr>
            <w:tcW w:w="127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2023年1月至12月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市自然资源（林业）局</w:t>
            </w:r>
          </w:p>
        </w:tc>
        <w:tc>
          <w:tcPr>
            <w:tcW w:w="108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森林资源管理</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行政许可监督检查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林木采伐监督检查</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市属国有林场、生态公益林采伐申请单位、个人</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以许可审批数量为准</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w:t>
            </w:r>
          </w:p>
        </w:tc>
        <w:tc>
          <w:tcPr>
            <w:tcW w:w="127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2023年1月至12月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市自然资源（林业）局</w:t>
            </w:r>
          </w:p>
        </w:tc>
        <w:tc>
          <w:tcPr>
            <w:tcW w:w="108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森林资源管理</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股</w:t>
            </w:r>
          </w:p>
        </w:tc>
        <w:tc>
          <w:tcPr>
            <w:tcW w:w="1305" w:type="dxa"/>
            <w:noWrap w:val="0"/>
            <w:vAlign w:val="center"/>
          </w:tcPr>
          <w:p>
            <w:pPr>
              <w:pStyle w:val="10"/>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野生动物及其产品经营利用监督管理</w:t>
            </w:r>
          </w:p>
        </w:tc>
        <w:tc>
          <w:tcPr>
            <w:tcW w:w="3810" w:type="dxa"/>
            <w:noWrap w:val="0"/>
            <w:vAlign w:val="center"/>
          </w:tcPr>
          <w:p>
            <w:pPr>
              <w:pStyle w:val="11"/>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陆生野生动物及其制品经营利用监督检查</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全市野生动物人工繁育养殖企业（场所）</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3</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35%</w:t>
            </w:r>
          </w:p>
        </w:tc>
        <w:tc>
          <w:tcPr>
            <w:tcW w:w="127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2023年1月至12月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市自然资源（林业）局</w:t>
            </w:r>
          </w:p>
        </w:tc>
        <w:tc>
          <w:tcPr>
            <w:tcW w:w="108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森林资源管理</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木材加工厂监督检查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木材加工厂木材监督检查</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全市木材加工企业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156</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w:t>
            </w:r>
          </w:p>
        </w:tc>
        <w:tc>
          <w:tcPr>
            <w:tcW w:w="127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2023年1月至12月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4"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市自然资源（林业）局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自然保护地管理</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bidi="ar"/>
                <w14:textFill>
                  <w14:solidFill>
                    <w14:schemeClr w14:val="tx1"/>
                  </w14:solidFill>
                </w14:textFill>
              </w:rPr>
              <w:t>全市市级以上自然保护区、风景名胜区、湿地公园、森林公园等自然保护地不定向监管检查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监督检查各县（市、区）林业主管部门、市属国有林场按规定对辖区市级以上自然保护地进行监管、依法查处违法破坏自然保护地行为、管理机构设立、档案管理等情况。</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2023年审批的</w:t>
            </w:r>
            <w:r>
              <w:rPr>
                <w:rFonts w:hint="eastAsia" w:asciiTheme="minorEastAsia" w:hAnsiTheme="minorEastAsia" w:eastAsiaTheme="minorEastAsia" w:cstheme="minorEastAsia"/>
                <w:color w:val="000000" w:themeColor="text1"/>
                <w:kern w:val="0"/>
                <w:sz w:val="21"/>
                <w:szCs w:val="21"/>
                <w:lang w:bidi="ar"/>
                <w14:textFill>
                  <w14:solidFill>
                    <w14:schemeClr w14:val="tx1"/>
                  </w14:solidFill>
                </w14:textFill>
              </w:rPr>
              <w:t>市级以上自然保护区、风景名胜区、湿地公园、森林公园等自然保护地</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3%</w:t>
            </w:r>
          </w:p>
        </w:tc>
        <w:tc>
          <w:tcPr>
            <w:tcW w:w="127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2023年1月至12月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市公安局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科技信息通信</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对全市持有《广东省安全技术防范系统设计、施工、维修资格证》的单位进行抽查</w:t>
            </w:r>
          </w:p>
        </w:tc>
        <w:tc>
          <w:tcPr>
            <w:tcW w:w="3810" w:type="dxa"/>
            <w:noWrap w:val="0"/>
            <w:vAlign w:val="center"/>
          </w:tcPr>
          <w:p>
            <w:pPr>
              <w:pStyle w:val="6"/>
              <w:keepNext w:val="0"/>
              <w:keepLines w:val="0"/>
              <w:pageBreakBefore w:val="0"/>
              <w:widowControl/>
              <w:numPr>
                <w:ilvl w:val="0"/>
                <w:numId w:val="0"/>
              </w:numPr>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1.企业开办、变更、换证是否依法办理；2.设施、设备是否符合技术安全防范有关规定及标准；</w:t>
            </w:r>
          </w:p>
          <w:p>
            <w:pPr>
              <w:pStyle w:val="6"/>
              <w:keepNext w:val="0"/>
              <w:keepLines w:val="0"/>
              <w:pageBreakBefore w:val="0"/>
              <w:widowControl/>
              <w:numPr>
                <w:ilvl w:val="0"/>
                <w:numId w:val="0"/>
              </w:numPr>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3.是否存在违法犯罪情况；</w:t>
            </w:r>
          </w:p>
          <w:p>
            <w:pPr>
              <w:pStyle w:val="6"/>
              <w:keepNext w:val="0"/>
              <w:keepLines w:val="0"/>
              <w:pageBreakBefore w:val="0"/>
              <w:widowControl/>
              <w:numPr>
                <w:ilvl w:val="0"/>
                <w:numId w:val="0"/>
              </w:numPr>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4.其他与技防管理有关且应当进行公开检查的事项。</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对全市持有《广东省安全技术防范系统设计、施工、维修资格证》的单位</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30</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10%（根据检查对象不同风险级别设置差异化抽查比例）</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2023年3月至12月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罗定海关</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属地外勤科</w:t>
            </w: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出口商品生产企业检查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出口商品生产企业检查。</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海关出口商品生产企业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由上级主管部门抽选</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由上级主管部门抽选</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2023年3月12日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市农业农村局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兽医与屠宰管理股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2023动物及其产品检疫监督检查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动物及其产品检疫。</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镇级检疫部门、屠宰场</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3</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2023年4月至11月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市农业农村局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科技教育与植保植检股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2023农药管理监督检查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农药管理。</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2023年度年报的企业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721</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2023年2月至12月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市农业农村局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兽医与屠宰管理股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2023兽药管理监督检查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兽药管理。</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兽药厂、兽药经营门店</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4</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2023年4月至11月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市农业农村局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种植业与种业管理股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2023肥料管理监督检查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肥料管理。</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肥料生产企业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3</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60%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2023年7月至11月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市农业农村局</w:t>
            </w:r>
          </w:p>
        </w:tc>
        <w:tc>
          <w:tcPr>
            <w:tcW w:w="1088" w:type="dxa"/>
            <w:vMerge w:val="restart"/>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畜牧渔业与饲料管理股</w:t>
            </w: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科技教育与植保植检股</w:t>
            </w:r>
          </w:p>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2023畜禽养殖管理监督检查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畜禽养殖管理。</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大型规模养殖场</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193</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2023年4月至11月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市农业农村局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2023农业转基因生物管理监督检查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农业转基因生物管理。</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进口转基因生物加工企业</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lang w:val="en-US" w:eastAsia="zh-CN"/>
                <w14:textFill>
                  <w14:solidFill>
                    <w14:schemeClr w14:val="tx1"/>
                  </w14:solidFill>
                </w14:textFill>
              </w:rPr>
              <w:t>1</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60%以上</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2023年3月至12月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0"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市农业农村局</w:t>
            </w:r>
          </w:p>
        </w:tc>
        <w:tc>
          <w:tcPr>
            <w:tcW w:w="1088" w:type="dxa"/>
            <w:vMerge w:val="continue"/>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2023水生野生动物管理监督检查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水生野生动物管理。</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利用水生野生动物及其制品的事业单位、企业、社会组织</w:t>
            </w:r>
            <w:r>
              <w:rPr>
                <w:rFonts w:hint="eastAsia" w:asciiTheme="minorEastAsia" w:hAnsiTheme="minorEastAsia" w:eastAsiaTheme="minorEastAsia" w:cstheme="minorEastAsia"/>
                <w:color w:val="000000" w:themeColor="text1"/>
                <w:kern w:val="0"/>
                <w:sz w:val="21"/>
                <w:szCs w:val="21"/>
                <w:lang w:eastAsia="zh-CN"/>
                <w14:textFill>
                  <w14:solidFill>
                    <w14:schemeClr w14:val="tx1"/>
                  </w14:solidFill>
                </w14:textFill>
              </w:rPr>
              <w:t>及个人</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19</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2023年7月至11月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trPr>
        <w:tc>
          <w:tcPr>
            <w:tcW w:w="0" w:type="auto"/>
            <w:noWrap w:val="0"/>
            <w:vAlign w:val="center"/>
          </w:tcPr>
          <w:p>
            <w:pPr>
              <w:pStyle w:val="6"/>
              <w:keepNext w:val="0"/>
              <w:keepLines w:val="0"/>
              <w:pageBreakBefore w:val="0"/>
              <w:widowControl/>
              <w:numPr>
                <w:ilvl w:val="0"/>
                <w:numId w:val="1"/>
              </w:numPr>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heme="minorEastAsia" w:hAnsiTheme="minorEastAsia" w:eastAsiaTheme="minorEastAsia" w:cstheme="minorEastAsia"/>
                <w:b/>
                <w:bCs/>
                <w:color w:val="000000" w:themeColor="text1"/>
                <w:kern w:val="0"/>
                <w:sz w:val="21"/>
                <w:szCs w:val="21"/>
                <w:lang w:val="en-US" w:eastAsia="zh-CN"/>
                <w14:textFill>
                  <w14:solidFill>
                    <w14:schemeClr w14:val="tx1"/>
                  </w14:solidFill>
                </w14:textFill>
              </w:rPr>
            </w:pPr>
          </w:p>
        </w:tc>
        <w:tc>
          <w:tcPr>
            <w:tcW w:w="94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市农业农村局</w:t>
            </w:r>
          </w:p>
        </w:tc>
        <w:tc>
          <w:tcPr>
            <w:tcW w:w="1088"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兽医与屠宰管理股</w:t>
            </w:r>
          </w:p>
        </w:tc>
        <w:tc>
          <w:tcPr>
            <w:tcW w:w="130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2023动物诊疗监督检查</w:t>
            </w:r>
          </w:p>
        </w:tc>
        <w:tc>
          <w:tcPr>
            <w:tcW w:w="381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动物诊疗。</w:t>
            </w:r>
          </w:p>
        </w:tc>
        <w:tc>
          <w:tcPr>
            <w:tcW w:w="82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不定向</w:t>
            </w:r>
          </w:p>
        </w:tc>
        <w:tc>
          <w:tcPr>
            <w:tcW w:w="159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动物诊疗店</w:t>
            </w:r>
          </w:p>
        </w:tc>
        <w:tc>
          <w:tcPr>
            <w:tcW w:w="1380"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w:t>
            </w:r>
          </w:p>
        </w:tc>
        <w:tc>
          <w:tcPr>
            <w:tcW w:w="139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10%</w:t>
            </w:r>
          </w:p>
        </w:tc>
        <w:tc>
          <w:tcPr>
            <w:tcW w:w="1275" w:type="dxa"/>
            <w:noWrap w:val="0"/>
            <w:vAlign w:val="center"/>
          </w:tcPr>
          <w:p>
            <w:pPr>
              <w:pStyle w:val="6"/>
              <w:keepNext w:val="0"/>
              <w:keepLines w:val="0"/>
              <w:pageBreakBefore w:val="0"/>
              <w:widowControl/>
              <w:kinsoku/>
              <w:wordWrap/>
              <w:overflowPunct/>
              <w:topLinePunct w:val="0"/>
              <w:autoSpaceDE/>
              <w:autoSpaceDN/>
              <w:bidi w:val="0"/>
              <w:adjustRightInd/>
              <w:snapToGrid/>
              <w:spacing w:line="300" w:lineRule="exact"/>
              <w:ind w:left="0" w:firstLine="0"/>
              <w:jc w:val="center"/>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14:textFill>
                  <w14:solidFill>
                    <w14:schemeClr w14:val="tx1"/>
                  </w14:solidFill>
                </w14:textFill>
              </w:rPr>
              <w:t>2023年4月至11月</w:t>
            </w:r>
          </w:p>
        </w:tc>
      </w:tr>
    </w:tbl>
    <w:p>
      <w:pPr>
        <w:pStyle w:val="6"/>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color w:val="auto"/>
          <w:kern w:val="0"/>
          <w:sz w:val="21"/>
          <w:szCs w:val="21"/>
        </w:rPr>
      </w:pPr>
    </w:p>
    <w:p/>
    <w:sectPr>
      <w:footerReference r:id="rId3" w:type="default"/>
      <w:pgSz w:w="16838" w:h="11906" w:orient="landscape"/>
      <w:pgMar w:top="1531" w:right="1701" w:bottom="1531" w:left="1417"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0AE689"/>
    <w:multiLevelType w:val="singleLevel"/>
    <w:tmpl w:val="A80AE689"/>
    <w:lvl w:ilvl="0" w:tentative="0">
      <w:start w:val="1"/>
      <w:numFmt w:val="decimal"/>
      <w:lvlText w:val="%1"/>
      <w:lvlJc w:val="left"/>
      <w:pPr>
        <w:tabs>
          <w:tab w:val="left" w:pos="420"/>
        </w:tabs>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2MzVkZmY3MzY1NTI5MGU5OTIwZTc5ZDZkODUzNTkifQ=="/>
  </w:docVars>
  <w:rsids>
    <w:rsidRoot w:val="6B8E0A04"/>
    <w:rsid w:val="018B4BCD"/>
    <w:rsid w:val="024943DA"/>
    <w:rsid w:val="025D3F32"/>
    <w:rsid w:val="05946D18"/>
    <w:rsid w:val="08CF435B"/>
    <w:rsid w:val="099F72D5"/>
    <w:rsid w:val="0ABB47E7"/>
    <w:rsid w:val="0C8C6CCE"/>
    <w:rsid w:val="0CC17E6B"/>
    <w:rsid w:val="11AC0EB6"/>
    <w:rsid w:val="15325DCB"/>
    <w:rsid w:val="1A384C26"/>
    <w:rsid w:val="1BDB1D99"/>
    <w:rsid w:val="1D2A3BAC"/>
    <w:rsid w:val="1DB14249"/>
    <w:rsid w:val="20E215A7"/>
    <w:rsid w:val="21A0012A"/>
    <w:rsid w:val="2D104786"/>
    <w:rsid w:val="36A25ED7"/>
    <w:rsid w:val="3ED979DD"/>
    <w:rsid w:val="422F6EA6"/>
    <w:rsid w:val="47B52C8C"/>
    <w:rsid w:val="492B7222"/>
    <w:rsid w:val="495E625D"/>
    <w:rsid w:val="4B38637A"/>
    <w:rsid w:val="4B602C4B"/>
    <w:rsid w:val="503467C7"/>
    <w:rsid w:val="52817309"/>
    <w:rsid w:val="528B1ED6"/>
    <w:rsid w:val="549C1959"/>
    <w:rsid w:val="56F02C50"/>
    <w:rsid w:val="58414A43"/>
    <w:rsid w:val="58564025"/>
    <w:rsid w:val="5BE64F5E"/>
    <w:rsid w:val="60F05DAB"/>
    <w:rsid w:val="628B2C0D"/>
    <w:rsid w:val="670A5668"/>
    <w:rsid w:val="6B8E0A04"/>
    <w:rsid w:val="731F5F99"/>
    <w:rsid w:val="78986506"/>
    <w:rsid w:val="7E764D6A"/>
    <w:rsid w:val="7F9F50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2"/>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customStyle="1" w:styleId="6">
    <w:name w:val="正文 New"/>
    <w:next w:val="7"/>
    <w:qFormat/>
    <w:uiPriority w:val="0"/>
    <w:pPr>
      <w:widowControl w:val="0"/>
      <w:jc w:val="both"/>
    </w:pPr>
    <w:rPr>
      <w:rFonts w:ascii="Calibri" w:hAnsi="Calibri" w:eastAsia="宋体" w:cs="Times New Roman"/>
      <w:kern w:val="2"/>
      <w:sz w:val="21"/>
      <w:szCs w:val="22"/>
      <w:lang w:val="en-US" w:eastAsia="zh-CN" w:bidi="ar-SA"/>
    </w:rPr>
  </w:style>
  <w:style w:type="paragraph" w:customStyle="1" w:styleId="7">
    <w:name w:val="纯文本 New"/>
    <w:basedOn w:val="6"/>
    <w:qFormat/>
    <w:uiPriority w:val="0"/>
    <w:rPr>
      <w:rFonts w:ascii="宋体" w:hAnsi="Courier New"/>
    </w:rPr>
  </w:style>
  <w:style w:type="character" w:customStyle="1" w:styleId="8">
    <w:name w:val="font41"/>
    <w:basedOn w:val="5"/>
    <w:qFormat/>
    <w:uiPriority w:val="0"/>
    <w:rPr>
      <w:rFonts w:hint="eastAsia" w:ascii="宋体" w:hAnsi="宋体" w:eastAsia="宋体" w:cs="宋体"/>
      <w:color w:val="000000"/>
      <w:sz w:val="21"/>
      <w:szCs w:val="21"/>
      <w:u w:val="none"/>
    </w:rPr>
  </w:style>
  <w:style w:type="paragraph" w:customStyle="1" w:styleId="9">
    <w:name w:val="正文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
    <w:name w:val="正文 New New New New New New New New"/>
    <w:qFormat/>
    <w:uiPriority w:val="0"/>
    <w:pPr>
      <w:widowControl w:val="0"/>
      <w:jc w:val="both"/>
    </w:pPr>
    <w:rPr>
      <w:rFonts w:ascii="Calibri" w:hAnsi="Calibri" w:eastAsia="宋体" w:cs="黑体"/>
      <w:kern w:val="2"/>
      <w:sz w:val="21"/>
      <w:szCs w:val="22"/>
      <w:lang w:val="en-US" w:eastAsia="zh-CN" w:bidi="ar-SA"/>
    </w:rPr>
  </w:style>
  <w:style w:type="paragraph" w:customStyle="1" w:styleId="11">
    <w:name w:val="正文 New New New New New New"/>
    <w:qFormat/>
    <w:uiPriority w:val="0"/>
    <w:pPr>
      <w:widowControl w:val="0"/>
      <w:jc w:val="both"/>
    </w:pPr>
    <w:rPr>
      <w:rFonts w:ascii="Calibri" w:hAnsi="Calibri" w:eastAsia="宋体" w:cs="黑体"/>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12455</Words>
  <Characters>13413</Characters>
  <Lines>0</Lines>
  <Paragraphs>0</Paragraphs>
  <TotalTime>11</TotalTime>
  <ScaleCrop>false</ScaleCrop>
  <LinksUpToDate>false</LinksUpToDate>
  <CharactersWithSpaces>13416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2023-06-05T02:11:00Z</dcterms:created>
  <dc:creator>Administrator</dc:creator>
  <cp:lastModifiedBy>彭蔚</cp:lastModifiedBy>
  <cp:lastPrinted>2023-06-14T01:21:00Z</cp:lastPrinted>
  <dcterms:modified xsi:type="dcterms:W3CDTF">2023-06-16T07:11:37Z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AD2CDD18701A4E1FA9436B757EAB72A0_11</vt:lpwstr>
  </property>
</Properties>
</file>